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0C8EE" w14:textId="77777777" w:rsidR="008A27A7" w:rsidRPr="00724815" w:rsidRDefault="00C145BD" w:rsidP="00C8503A">
      <w:pPr>
        <w:jc w:val="right"/>
        <w:rPr>
          <w:rFonts w:ascii="Calibri" w:hAnsi="Calibri" w:cs="Calibri"/>
        </w:rPr>
      </w:pPr>
      <w:r>
        <w:rPr>
          <w:rFonts w:ascii="Calibri" w:hAnsi="Calibri" w:cs="Calibri"/>
          <w:noProof/>
          <w:lang w:eastAsia="en-NZ"/>
        </w:rPr>
        <w:drawing>
          <wp:inline distT="0" distB="0" distL="0" distR="0" wp14:anchorId="00662FB4" wp14:editId="6B40C795">
            <wp:extent cx="1771650" cy="790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jpg"/>
                    <pic:cNvPicPr/>
                  </pic:nvPicPr>
                  <pic:blipFill>
                    <a:blip r:embed="rId8">
                      <a:extLst>
                        <a:ext uri="{28A0092B-C50C-407E-A947-70E740481C1C}">
                          <a14:useLocalDpi xmlns:a14="http://schemas.microsoft.com/office/drawing/2010/main" val="0"/>
                        </a:ext>
                      </a:extLst>
                    </a:blip>
                    <a:stretch>
                      <a:fillRect/>
                    </a:stretch>
                  </pic:blipFill>
                  <pic:spPr>
                    <a:xfrm>
                      <a:off x="0" y="0"/>
                      <a:ext cx="1771650" cy="790575"/>
                    </a:xfrm>
                    <a:prstGeom prst="rect">
                      <a:avLst/>
                    </a:prstGeom>
                  </pic:spPr>
                </pic:pic>
              </a:graphicData>
            </a:graphic>
          </wp:inline>
        </w:drawing>
      </w:r>
    </w:p>
    <w:p w14:paraId="77391FDC" w14:textId="77777777" w:rsidR="00EB361B" w:rsidRDefault="00EB361B" w:rsidP="00EB361B">
      <w:pPr>
        <w:rPr>
          <w:rFonts w:ascii="Calibri" w:hAnsi="Calibri" w:cs="Calibri"/>
        </w:rPr>
      </w:pPr>
    </w:p>
    <w:tbl>
      <w:tblPr>
        <w:tblW w:w="9778"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ook w:val="04A0" w:firstRow="1" w:lastRow="0" w:firstColumn="1" w:lastColumn="0" w:noHBand="0" w:noVBand="1"/>
      </w:tblPr>
      <w:tblGrid>
        <w:gridCol w:w="2691"/>
        <w:gridCol w:w="2268"/>
        <w:gridCol w:w="2409"/>
        <w:gridCol w:w="2410"/>
      </w:tblGrid>
      <w:tr w:rsidR="00DE022E" w:rsidRPr="00DE022E" w14:paraId="3437847B" w14:textId="77777777" w:rsidTr="00E756BB">
        <w:tc>
          <w:tcPr>
            <w:tcW w:w="9778" w:type="dxa"/>
            <w:gridSpan w:val="4"/>
            <w:tcBorders>
              <w:top w:val="single" w:sz="2" w:space="0" w:color="A6A6A6"/>
              <w:left w:val="single" w:sz="2" w:space="0" w:color="A6A6A6"/>
              <w:bottom w:val="single" w:sz="2" w:space="0" w:color="A6A6A6"/>
              <w:right w:val="single" w:sz="2" w:space="0" w:color="A6A6A6"/>
            </w:tcBorders>
            <w:vAlign w:val="center"/>
          </w:tcPr>
          <w:p w14:paraId="65882D1C" w14:textId="77777777" w:rsidR="00DE022E" w:rsidRPr="00DE022E" w:rsidRDefault="00DE022E" w:rsidP="00EC51FF">
            <w:pPr>
              <w:keepNext/>
              <w:keepLines/>
              <w:tabs>
                <w:tab w:val="left" w:pos="3402"/>
                <w:tab w:val="left" w:pos="6804"/>
                <w:tab w:val="left" w:pos="10206"/>
              </w:tabs>
              <w:spacing w:before="60" w:after="60" w:line="288" w:lineRule="auto"/>
              <w:jc w:val="left"/>
              <w:outlineLvl w:val="0"/>
              <w:rPr>
                <w:rFonts w:ascii="Calibri" w:eastAsia="MS PGothic" w:hAnsi="Calibri" w:cs="Calibri"/>
                <w:b/>
                <w:bCs/>
                <w:color w:val="auto"/>
                <w:sz w:val="32"/>
                <w:szCs w:val="36"/>
              </w:rPr>
            </w:pPr>
            <w:r>
              <w:rPr>
                <w:rFonts w:ascii="Calibri" w:eastAsia="MS PGothic" w:hAnsi="Calibri" w:cs="Calibri"/>
                <w:b/>
                <w:bCs/>
                <w:color w:val="auto"/>
                <w:sz w:val="32"/>
                <w:szCs w:val="36"/>
              </w:rPr>
              <w:t>Rat</w:t>
            </w:r>
            <w:r w:rsidR="00EC51FF">
              <w:rPr>
                <w:rFonts w:ascii="Calibri" w:eastAsia="MS PGothic" w:hAnsi="Calibri" w:cs="Calibri"/>
                <w:b/>
                <w:bCs/>
                <w:color w:val="auto"/>
                <w:sz w:val="32"/>
                <w:szCs w:val="36"/>
              </w:rPr>
              <w:t>ing</w:t>
            </w:r>
            <w:r>
              <w:rPr>
                <w:rFonts w:ascii="Calibri" w:eastAsia="MS PGothic" w:hAnsi="Calibri" w:cs="Calibri"/>
                <w:b/>
                <w:bCs/>
                <w:color w:val="auto"/>
                <w:sz w:val="32"/>
                <w:szCs w:val="36"/>
              </w:rPr>
              <w:t xml:space="preserve"> </w:t>
            </w:r>
            <w:r w:rsidRPr="00DE022E">
              <w:rPr>
                <w:rFonts w:ascii="Calibri" w:eastAsia="MS PGothic" w:hAnsi="Calibri" w:cs="Calibri"/>
                <w:b/>
                <w:bCs/>
                <w:color w:val="auto"/>
                <w:sz w:val="32"/>
                <w:szCs w:val="36"/>
              </w:rPr>
              <w:t>Policy</w:t>
            </w:r>
          </w:p>
        </w:tc>
      </w:tr>
      <w:tr w:rsidR="00DE022E" w:rsidRPr="00DE022E" w14:paraId="70D921D1" w14:textId="77777777" w:rsidTr="00E756BB">
        <w:tc>
          <w:tcPr>
            <w:tcW w:w="2691" w:type="dxa"/>
            <w:vAlign w:val="center"/>
          </w:tcPr>
          <w:p w14:paraId="50E23F72"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Approved by</w:t>
            </w:r>
          </w:p>
        </w:tc>
        <w:tc>
          <w:tcPr>
            <w:tcW w:w="7087" w:type="dxa"/>
            <w:gridSpan w:val="3"/>
            <w:vAlign w:val="center"/>
          </w:tcPr>
          <w:p w14:paraId="12A8CD50" w14:textId="213FA9DC" w:rsidR="00DE022E" w:rsidRPr="00DE022E" w:rsidRDefault="00AD5F7F" w:rsidP="008443F0">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Council</w:t>
            </w:r>
            <w:bookmarkStart w:id="0" w:name="_GoBack"/>
            <w:bookmarkEnd w:id="0"/>
          </w:p>
        </w:tc>
      </w:tr>
      <w:tr w:rsidR="00DE022E" w:rsidRPr="00DE022E" w14:paraId="13EB7649" w14:textId="77777777" w:rsidTr="00E756BB">
        <w:tc>
          <w:tcPr>
            <w:tcW w:w="2691" w:type="dxa"/>
            <w:vAlign w:val="center"/>
          </w:tcPr>
          <w:p w14:paraId="54F35220"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Department</w:t>
            </w:r>
          </w:p>
        </w:tc>
        <w:tc>
          <w:tcPr>
            <w:tcW w:w="7087" w:type="dxa"/>
            <w:gridSpan w:val="3"/>
            <w:vAlign w:val="center"/>
          </w:tcPr>
          <w:p w14:paraId="15A27191"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color w:val="auto"/>
                <w:szCs w:val="24"/>
                <w:highlight w:val="yellow"/>
              </w:rPr>
            </w:pPr>
            <w:r w:rsidRPr="00DE022E">
              <w:rPr>
                <w:rFonts w:ascii="Calibri" w:eastAsia="Arial" w:hAnsi="Calibri" w:cs="Calibri"/>
                <w:color w:val="auto"/>
                <w:szCs w:val="24"/>
              </w:rPr>
              <w:t>Finance</w:t>
            </w:r>
          </w:p>
        </w:tc>
      </w:tr>
      <w:tr w:rsidR="00DE022E" w:rsidRPr="00DE022E" w14:paraId="765B7F0F" w14:textId="77777777" w:rsidTr="00E756BB">
        <w:tc>
          <w:tcPr>
            <w:tcW w:w="2691" w:type="dxa"/>
            <w:vAlign w:val="center"/>
          </w:tcPr>
          <w:p w14:paraId="4B25813F"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Original Approval Date</w:t>
            </w:r>
          </w:p>
        </w:tc>
        <w:tc>
          <w:tcPr>
            <w:tcW w:w="2268" w:type="dxa"/>
            <w:vAlign w:val="center"/>
          </w:tcPr>
          <w:p w14:paraId="78DC2699" w14:textId="14285E7F" w:rsidR="00DE022E" w:rsidRPr="00DE022E" w:rsidRDefault="005674A5" w:rsidP="00DE022E">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11 February 2021</w:t>
            </w:r>
          </w:p>
        </w:tc>
        <w:tc>
          <w:tcPr>
            <w:tcW w:w="2409" w:type="dxa"/>
            <w:vAlign w:val="center"/>
          </w:tcPr>
          <w:p w14:paraId="30C1BE2F"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Review Approval Date</w:t>
            </w:r>
          </w:p>
        </w:tc>
        <w:tc>
          <w:tcPr>
            <w:tcW w:w="2410" w:type="dxa"/>
            <w:vAlign w:val="center"/>
          </w:tcPr>
          <w:p w14:paraId="13A9DBA2"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color w:val="auto"/>
                <w:szCs w:val="24"/>
              </w:rPr>
            </w:pPr>
          </w:p>
        </w:tc>
      </w:tr>
      <w:tr w:rsidR="00DE022E" w:rsidRPr="00DE022E" w14:paraId="189E49CB" w14:textId="77777777" w:rsidTr="00E756BB">
        <w:tc>
          <w:tcPr>
            <w:tcW w:w="2691" w:type="dxa"/>
            <w:vAlign w:val="center"/>
          </w:tcPr>
          <w:p w14:paraId="2F265EE8"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Next Review Deadline</w:t>
            </w:r>
          </w:p>
        </w:tc>
        <w:tc>
          <w:tcPr>
            <w:tcW w:w="2268" w:type="dxa"/>
            <w:vAlign w:val="center"/>
          </w:tcPr>
          <w:p w14:paraId="6E13B8E1" w14:textId="37368853" w:rsidR="00DE022E" w:rsidRPr="00DE022E" w:rsidRDefault="005674A5" w:rsidP="00AE2233">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11 February 2024</w:t>
            </w:r>
          </w:p>
        </w:tc>
        <w:tc>
          <w:tcPr>
            <w:tcW w:w="2409" w:type="dxa"/>
            <w:vAlign w:val="center"/>
          </w:tcPr>
          <w:p w14:paraId="05A87E56" w14:textId="77777777" w:rsidR="00DE022E" w:rsidRPr="00DE022E" w:rsidRDefault="00607537"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Pr>
                <w:rFonts w:ascii="Calibri" w:eastAsia="Arial" w:hAnsi="Calibri" w:cs="Calibri"/>
                <w:b/>
                <w:color w:val="auto"/>
                <w:szCs w:val="24"/>
              </w:rPr>
              <w:t>Document ID</w:t>
            </w:r>
          </w:p>
        </w:tc>
        <w:tc>
          <w:tcPr>
            <w:tcW w:w="2410" w:type="dxa"/>
            <w:vAlign w:val="center"/>
          </w:tcPr>
          <w:p w14:paraId="2C03609E" w14:textId="1C1A01A4" w:rsidR="00DE022E" w:rsidRPr="00DE022E" w:rsidRDefault="005674A5" w:rsidP="00DE022E">
            <w:pPr>
              <w:tabs>
                <w:tab w:val="left" w:pos="3402"/>
                <w:tab w:val="left" w:pos="6804"/>
                <w:tab w:val="left" w:pos="10206"/>
              </w:tabs>
              <w:spacing w:before="60" w:after="60" w:line="288" w:lineRule="auto"/>
              <w:jc w:val="left"/>
              <w:rPr>
                <w:rFonts w:ascii="Calibri" w:eastAsia="Arial" w:hAnsi="Calibri" w:cs="Calibri"/>
                <w:color w:val="auto"/>
                <w:szCs w:val="24"/>
                <w:highlight w:val="yellow"/>
              </w:rPr>
            </w:pPr>
            <w:r w:rsidRPr="005674A5">
              <w:rPr>
                <w:rFonts w:ascii="Calibri" w:eastAsia="Arial" w:hAnsi="Calibri" w:cs="Calibri"/>
                <w:color w:val="auto"/>
                <w:szCs w:val="24"/>
              </w:rPr>
              <w:t>TBA</w:t>
            </w:r>
          </w:p>
        </w:tc>
      </w:tr>
      <w:tr w:rsidR="00DE022E" w:rsidRPr="00DE022E" w14:paraId="0665827D" w14:textId="77777777" w:rsidTr="00E756BB">
        <w:tc>
          <w:tcPr>
            <w:tcW w:w="2691" w:type="dxa"/>
            <w:vAlign w:val="center"/>
          </w:tcPr>
          <w:p w14:paraId="0B81B3A9"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Relevant Legislation</w:t>
            </w:r>
          </w:p>
        </w:tc>
        <w:tc>
          <w:tcPr>
            <w:tcW w:w="7087" w:type="dxa"/>
            <w:gridSpan w:val="3"/>
            <w:vAlign w:val="center"/>
          </w:tcPr>
          <w:p w14:paraId="09D615BE" w14:textId="77777777" w:rsidR="006354E8" w:rsidRDefault="00DE022E" w:rsidP="00DE022E">
            <w:pPr>
              <w:tabs>
                <w:tab w:val="left" w:pos="3402"/>
                <w:tab w:val="left" w:pos="6804"/>
                <w:tab w:val="left" w:pos="10206"/>
              </w:tabs>
              <w:spacing w:before="60" w:after="60" w:line="288" w:lineRule="auto"/>
              <w:jc w:val="left"/>
              <w:rPr>
                <w:rFonts w:ascii="Calibri" w:eastAsia="Arial" w:hAnsi="Calibri" w:cs="Calibri"/>
                <w:color w:val="auto"/>
                <w:szCs w:val="24"/>
              </w:rPr>
            </w:pPr>
            <w:r w:rsidRPr="00DE022E">
              <w:rPr>
                <w:rFonts w:ascii="Calibri" w:eastAsia="Arial" w:hAnsi="Calibri" w:cs="Calibri"/>
                <w:color w:val="auto"/>
                <w:szCs w:val="24"/>
              </w:rPr>
              <w:t xml:space="preserve">Local Government Act 2002, </w:t>
            </w:r>
          </w:p>
          <w:p w14:paraId="750CC81A" w14:textId="77777777" w:rsidR="00EF1F00" w:rsidRPr="00DE022E" w:rsidRDefault="00DE022E" w:rsidP="00DE022E">
            <w:pPr>
              <w:tabs>
                <w:tab w:val="left" w:pos="3402"/>
                <w:tab w:val="left" w:pos="6804"/>
                <w:tab w:val="left" w:pos="10206"/>
              </w:tabs>
              <w:spacing w:before="60" w:after="60" w:line="288" w:lineRule="auto"/>
              <w:jc w:val="left"/>
              <w:rPr>
                <w:rFonts w:ascii="Calibri" w:eastAsia="Arial" w:hAnsi="Calibri" w:cs="Calibri"/>
                <w:color w:val="auto"/>
                <w:szCs w:val="24"/>
              </w:rPr>
            </w:pPr>
            <w:r w:rsidRPr="00DE022E">
              <w:rPr>
                <w:rFonts w:ascii="Calibri" w:eastAsia="Arial" w:hAnsi="Calibri" w:cs="Calibri"/>
                <w:color w:val="auto"/>
                <w:szCs w:val="24"/>
              </w:rPr>
              <w:t>Local Government (Rating) Act 2002</w:t>
            </w:r>
          </w:p>
        </w:tc>
      </w:tr>
      <w:tr w:rsidR="00DE022E" w:rsidRPr="00DE022E" w14:paraId="22640CBD" w14:textId="77777777" w:rsidTr="00E756BB">
        <w:trPr>
          <w:trHeight w:val="48"/>
        </w:trPr>
        <w:tc>
          <w:tcPr>
            <w:tcW w:w="2691" w:type="dxa"/>
            <w:vAlign w:val="center"/>
          </w:tcPr>
          <w:p w14:paraId="7F4B9E64" w14:textId="77777777" w:rsidR="00DE022E" w:rsidRPr="00DE022E" w:rsidRDefault="00DE022E" w:rsidP="00DE022E">
            <w:pPr>
              <w:tabs>
                <w:tab w:val="left" w:pos="3402"/>
                <w:tab w:val="left" w:pos="6804"/>
                <w:tab w:val="left" w:pos="10206"/>
              </w:tabs>
              <w:spacing w:before="60" w:after="60" w:line="288" w:lineRule="auto"/>
              <w:jc w:val="left"/>
              <w:rPr>
                <w:rFonts w:ascii="Calibri" w:eastAsia="Arial" w:hAnsi="Calibri" w:cs="Calibri"/>
                <w:b/>
                <w:color w:val="auto"/>
                <w:szCs w:val="24"/>
              </w:rPr>
            </w:pPr>
            <w:r w:rsidRPr="00DE022E">
              <w:rPr>
                <w:rFonts w:ascii="Calibri" w:eastAsia="Arial" w:hAnsi="Calibri" w:cs="Calibri"/>
                <w:b/>
                <w:color w:val="auto"/>
                <w:szCs w:val="24"/>
              </w:rPr>
              <w:t>NCC Documents Referenced</w:t>
            </w:r>
          </w:p>
        </w:tc>
        <w:tc>
          <w:tcPr>
            <w:tcW w:w="7087" w:type="dxa"/>
            <w:gridSpan w:val="3"/>
            <w:vAlign w:val="center"/>
          </w:tcPr>
          <w:p w14:paraId="1308703F" w14:textId="77777777" w:rsidR="00A72FCE" w:rsidRDefault="006354E8">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Revenue &amp; Financing Policy</w:t>
            </w:r>
          </w:p>
          <w:p w14:paraId="45C6D590" w14:textId="77777777" w:rsidR="006354E8" w:rsidRDefault="006354E8">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Funding Impact Statement</w:t>
            </w:r>
          </w:p>
          <w:p w14:paraId="77FBC362" w14:textId="77777777" w:rsidR="006354E8" w:rsidRDefault="006354E8">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Rates Remission Policy</w:t>
            </w:r>
          </w:p>
          <w:p w14:paraId="35FA0314" w14:textId="77777777" w:rsidR="006354E8" w:rsidRDefault="006354E8">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Rates Postponement Policy</w:t>
            </w:r>
          </w:p>
          <w:p w14:paraId="10839126" w14:textId="47DE325A" w:rsidR="005674A5" w:rsidRPr="00DE022E" w:rsidRDefault="005674A5">
            <w:pPr>
              <w:tabs>
                <w:tab w:val="left" w:pos="3402"/>
                <w:tab w:val="left" w:pos="6804"/>
                <w:tab w:val="left" w:pos="10206"/>
              </w:tabs>
              <w:spacing w:before="60" w:after="60" w:line="288" w:lineRule="auto"/>
              <w:jc w:val="left"/>
              <w:rPr>
                <w:rFonts w:ascii="Calibri" w:eastAsia="Arial" w:hAnsi="Calibri" w:cs="Calibri"/>
                <w:color w:val="auto"/>
                <w:szCs w:val="24"/>
              </w:rPr>
            </w:pPr>
            <w:r>
              <w:rPr>
                <w:rFonts w:ascii="Calibri" w:eastAsia="Arial" w:hAnsi="Calibri" w:cs="Calibri"/>
                <w:color w:val="auto"/>
                <w:szCs w:val="24"/>
              </w:rPr>
              <w:t>Reviewed and amended in preparation for the Long Term Plan 2021-2031.</w:t>
            </w:r>
          </w:p>
        </w:tc>
      </w:tr>
    </w:tbl>
    <w:p w14:paraId="73496F65" w14:textId="77777777" w:rsidR="000A5AD4" w:rsidRPr="00DE022E" w:rsidRDefault="000A5AD4" w:rsidP="00FB571E">
      <w:pPr>
        <w:pStyle w:val="Heading1"/>
        <w:rPr>
          <w:color w:val="auto"/>
        </w:rPr>
      </w:pPr>
      <w:r w:rsidRPr="00DE022E">
        <w:rPr>
          <w:color w:val="auto"/>
        </w:rPr>
        <w:t>Purpose</w:t>
      </w:r>
    </w:p>
    <w:p w14:paraId="6343737F" w14:textId="77777777" w:rsidR="006354E8" w:rsidRPr="000F7EEE" w:rsidRDefault="006354E8" w:rsidP="000A5AD4">
      <w:pPr>
        <w:rPr>
          <w:color w:val="auto"/>
        </w:rPr>
      </w:pPr>
      <w:r w:rsidRPr="000F7EEE">
        <w:rPr>
          <w:color w:val="auto"/>
        </w:rPr>
        <w:t>To assist Council in setting rates as specified within the requirements of the Local Government Act 2002 (LGA) and the Local Government (Rating) Act 2002 (LGRA).</w:t>
      </w:r>
    </w:p>
    <w:p w14:paraId="2DB2A814" w14:textId="77777777" w:rsidR="006354E8" w:rsidRPr="000F7EEE" w:rsidRDefault="006354E8" w:rsidP="000A5AD4">
      <w:pPr>
        <w:rPr>
          <w:color w:val="auto"/>
        </w:rPr>
      </w:pPr>
      <w:r w:rsidRPr="000F7EEE">
        <w:rPr>
          <w:color w:val="auto"/>
        </w:rPr>
        <w:t>This Policy is to be read in conjunction with the Revenue and Financing Policy, Rates Remission and Postponement Policy and Funding Impact Statement.</w:t>
      </w:r>
    </w:p>
    <w:p w14:paraId="39E6D20B" w14:textId="77777777" w:rsidR="006354E8" w:rsidRPr="000F7EEE" w:rsidRDefault="006354E8" w:rsidP="000A5AD4">
      <w:pPr>
        <w:rPr>
          <w:color w:val="auto"/>
        </w:rPr>
      </w:pPr>
      <w:r w:rsidRPr="000F7EEE">
        <w:rPr>
          <w:color w:val="auto"/>
        </w:rPr>
        <w:t>The Council must complete the following to set a lawful rate.</w:t>
      </w:r>
    </w:p>
    <w:p w14:paraId="6714D479" w14:textId="77777777" w:rsidR="006354E8" w:rsidRPr="000F7EEE" w:rsidRDefault="00C81E62" w:rsidP="000D2659">
      <w:pPr>
        <w:pStyle w:val="ListParagraph"/>
        <w:numPr>
          <w:ilvl w:val="0"/>
          <w:numId w:val="6"/>
        </w:numPr>
        <w:rPr>
          <w:b w:val="0"/>
          <w:color w:val="auto"/>
          <w:sz w:val="21"/>
          <w:szCs w:val="21"/>
        </w:rPr>
      </w:pPr>
      <w:r w:rsidRPr="000F7EEE">
        <w:rPr>
          <w:b w:val="0"/>
          <w:color w:val="auto"/>
          <w:sz w:val="21"/>
          <w:szCs w:val="21"/>
        </w:rPr>
        <w:t xml:space="preserve">Analysis as per </w:t>
      </w:r>
      <w:r w:rsidR="006354E8" w:rsidRPr="000F7EEE">
        <w:rPr>
          <w:b w:val="0"/>
          <w:color w:val="auto"/>
          <w:sz w:val="21"/>
          <w:szCs w:val="21"/>
        </w:rPr>
        <w:t xml:space="preserve">s.101(3) </w:t>
      </w:r>
      <w:r w:rsidRPr="000F7EEE">
        <w:rPr>
          <w:b w:val="0"/>
          <w:color w:val="auto"/>
          <w:sz w:val="21"/>
          <w:szCs w:val="21"/>
        </w:rPr>
        <w:t>of the Local Government Act 2002</w:t>
      </w:r>
    </w:p>
    <w:p w14:paraId="2528160D" w14:textId="77777777" w:rsidR="006354E8" w:rsidRPr="000F7EEE" w:rsidRDefault="006354E8" w:rsidP="000D2659">
      <w:pPr>
        <w:pStyle w:val="ListParagraph"/>
        <w:numPr>
          <w:ilvl w:val="0"/>
          <w:numId w:val="6"/>
        </w:numPr>
        <w:rPr>
          <w:b w:val="0"/>
          <w:color w:val="auto"/>
          <w:sz w:val="21"/>
          <w:szCs w:val="21"/>
        </w:rPr>
      </w:pPr>
      <w:r w:rsidRPr="000F7EEE">
        <w:rPr>
          <w:b w:val="0"/>
          <w:color w:val="auto"/>
          <w:sz w:val="21"/>
          <w:szCs w:val="21"/>
        </w:rPr>
        <w:t>Adopt</w:t>
      </w:r>
      <w:r w:rsidR="00C81E62" w:rsidRPr="000F7EEE">
        <w:rPr>
          <w:b w:val="0"/>
          <w:color w:val="auto"/>
          <w:sz w:val="21"/>
          <w:szCs w:val="21"/>
        </w:rPr>
        <w:t xml:space="preserve"> a Revenue and Financing Policy</w:t>
      </w:r>
    </w:p>
    <w:p w14:paraId="0DE2C060" w14:textId="77777777" w:rsidR="006354E8" w:rsidRPr="000F7EEE" w:rsidRDefault="006354E8" w:rsidP="000D2659">
      <w:pPr>
        <w:pStyle w:val="ListParagraph"/>
        <w:numPr>
          <w:ilvl w:val="0"/>
          <w:numId w:val="6"/>
        </w:numPr>
        <w:rPr>
          <w:b w:val="0"/>
          <w:color w:val="auto"/>
          <w:sz w:val="21"/>
          <w:szCs w:val="21"/>
        </w:rPr>
      </w:pPr>
      <w:r w:rsidRPr="000F7EEE">
        <w:rPr>
          <w:b w:val="0"/>
          <w:color w:val="auto"/>
          <w:sz w:val="21"/>
          <w:szCs w:val="21"/>
        </w:rPr>
        <w:t>A</w:t>
      </w:r>
      <w:r w:rsidR="00C81E62" w:rsidRPr="000F7EEE">
        <w:rPr>
          <w:b w:val="0"/>
          <w:color w:val="auto"/>
          <w:sz w:val="21"/>
          <w:szCs w:val="21"/>
        </w:rPr>
        <w:t>dopt a Funding Impact Statement</w:t>
      </w:r>
    </w:p>
    <w:p w14:paraId="4EFAD992" w14:textId="77777777" w:rsidR="006354E8" w:rsidRPr="000F7EEE" w:rsidRDefault="006354E8" w:rsidP="000D2659">
      <w:pPr>
        <w:pStyle w:val="ListParagraph"/>
        <w:numPr>
          <w:ilvl w:val="0"/>
          <w:numId w:val="6"/>
        </w:numPr>
        <w:rPr>
          <w:b w:val="0"/>
          <w:color w:val="auto"/>
          <w:sz w:val="21"/>
          <w:szCs w:val="21"/>
        </w:rPr>
      </w:pPr>
      <w:r w:rsidRPr="000F7EEE">
        <w:rPr>
          <w:b w:val="0"/>
          <w:color w:val="auto"/>
          <w:sz w:val="21"/>
          <w:szCs w:val="21"/>
        </w:rPr>
        <w:t xml:space="preserve">Adopt an Annual or </w:t>
      </w:r>
      <w:r w:rsidR="00C81E62" w:rsidRPr="000F7EEE">
        <w:rPr>
          <w:b w:val="0"/>
          <w:color w:val="auto"/>
          <w:sz w:val="21"/>
          <w:szCs w:val="21"/>
        </w:rPr>
        <w:t>Long Term</w:t>
      </w:r>
      <w:r w:rsidRPr="000F7EEE">
        <w:rPr>
          <w:b w:val="0"/>
          <w:color w:val="auto"/>
          <w:sz w:val="21"/>
          <w:szCs w:val="21"/>
        </w:rPr>
        <w:t xml:space="preserve"> Plan </w:t>
      </w:r>
    </w:p>
    <w:p w14:paraId="0879A6CF" w14:textId="77777777" w:rsidR="006354E8" w:rsidRPr="000F7EEE" w:rsidRDefault="006354E8" w:rsidP="000D2659">
      <w:pPr>
        <w:pStyle w:val="ListParagraph"/>
        <w:numPr>
          <w:ilvl w:val="0"/>
          <w:numId w:val="6"/>
        </w:numPr>
        <w:rPr>
          <w:b w:val="0"/>
          <w:color w:val="auto"/>
          <w:sz w:val="21"/>
          <w:szCs w:val="21"/>
        </w:rPr>
      </w:pPr>
      <w:r w:rsidRPr="000F7EEE">
        <w:rPr>
          <w:b w:val="0"/>
          <w:color w:val="auto"/>
          <w:sz w:val="21"/>
          <w:szCs w:val="21"/>
        </w:rPr>
        <w:t xml:space="preserve">Adopt a rates resolution consistent with </w:t>
      </w:r>
      <w:r w:rsidR="00C81E62" w:rsidRPr="000F7EEE">
        <w:rPr>
          <w:b w:val="0"/>
          <w:color w:val="auto"/>
          <w:sz w:val="21"/>
          <w:szCs w:val="21"/>
        </w:rPr>
        <w:t>the actions described above.</w:t>
      </w:r>
    </w:p>
    <w:p w14:paraId="3E0114D6" w14:textId="77777777" w:rsidR="00D82969" w:rsidRPr="000F7EEE" w:rsidRDefault="00D82969" w:rsidP="00D82969">
      <w:pPr>
        <w:rPr>
          <w:b/>
          <w:color w:val="auto"/>
        </w:rPr>
      </w:pPr>
      <w:r w:rsidRPr="000F7EEE">
        <w:rPr>
          <w:b/>
          <w:color w:val="auto"/>
        </w:rPr>
        <w:t>Note: to maintain rating consistency, unless otherwise stated, adopted amendments made during any rating year to this policy will only become effective with the adoption of the following Annual Plan or Long Term Plan.</w:t>
      </w:r>
    </w:p>
    <w:p w14:paraId="4A893414" w14:textId="77777777" w:rsidR="004C6291" w:rsidRPr="000F7EEE" w:rsidRDefault="00FB571E" w:rsidP="00FB571E">
      <w:pPr>
        <w:pStyle w:val="Heading1"/>
        <w:rPr>
          <w:color w:val="auto"/>
        </w:rPr>
      </w:pPr>
      <w:r w:rsidRPr="000F7EEE">
        <w:rPr>
          <w:color w:val="auto"/>
        </w:rPr>
        <w:t>Policy</w:t>
      </w:r>
    </w:p>
    <w:p w14:paraId="0C9FB10B" w14:textId="77777777" w:rsidR="00C81E62" w:rsidRPr="000F7EEE" w:rsidRDefault="00243924" w:rsidP="00243924">
      <w:pPr>
        <w:pStyle w:val="ListParagraph"/>
        <w:ind w:left="284" w:hanging="284"/>
        <w:rPr>
          <w:color w:val="auto"/>
        </w:rPr>
      </w:pPr>
      <w:r w:rsidRPr="000F7EEE">
        <w:rPr>
          <w:color w:val="auto"/>
        </w:rPr>
        <w:t>General Rates</w:t>
      </w:r>
    </w:p>
    <w:p w14:paraId="6557BB4D" w14:textId="77777777" w:rsidR="00243924" w:rsidRPr="000F7EEE" w:rsidRDefault="00243924" w:rsidP="00243924">
      <w:pPr>
        <w:rPr>
          <w:color w:val="auto"/>
        </w:rPr>
      </w:pPr>
      <w:r w:rsidRPr="000F7EEE">
        <w:rPr>
          <w:color w:val="auto"/>
        </w:rPr>
        <w:t>General Rates are used to fund both operating and capital expenditure. They fund the remaining costs of Council operations after all other sources of funding have been applied.</w:t>
      </w:r>
    </w:p>
    <w:p w14:paraId="71B95DAC" w14:textId="77777777" w:rsidR="00243924" w:rsidRPr="000F7EEE" w:rsidRDefault="00243924" w:rsidP="00243924">
      <w:pPr>
        <w:rPr>
          <w:color w:val="auto"/>
        </w:rPr>
      </w:pPr>
      <w:r w:rsidRPr="000F7EEE">
        <w:rPr>
          <w:color w:val="auto"/>
        </w:rPr>
        <w:t>General Rates are assessed through a combination of a Uniform Annual General Charge (UAGC) and a rate in the dollar based on land value.</w:t>
      </w:r>
    </w:p>
    <w:p w14:paraId="6F4B947B" w14:textId="77777777" w:rsidR="00C81E62" w:rsidRPr="000F7EEE" w:rsidRDefault="00243924" w:rsidP="00243924">
      <w:pPr>
        <w:rPr>
          <w:color w:val="auto"/>
        </w:rPr>
      </w:pPr>
      <w:r w:rsidRPr="000F7EEE">
        <w:rPr>
          <w:color w:val="auto"/>
        </w:rPr>
        <w:lastRenderedPageBreak/>
        <w:t>The amount of the UAGC is set to ensure that the total (excluding water and wastewater rates) uniform (or fixed) rates will be between 20% to 25% of total rates that are to be collected.</w:t>
      </w:r>
    </w:p>
    <w:p w14:paraId="418C1C68" w14:textId="77777777" w:rsidR="00243924" w:rsidRPr="000F7EEE" w:rsidRDefault="000D2659" w:rsidP="00243924">
      <w:pPr>
        <w:rPr>
          <w:color w:val="auto"/>
        </w:rPr>
      </w:pPr>
      <w:r w:rsidRPr="000F7EEE">
        <w:rPr>
          <w:color w:val="auto"/>
        </w:rPr>
        <w:t>The General R</w:t>
      </w:r>
      <w:r w:rsidR="00243924" w:rsidRPr="000F7EEE">
        <w:rPr>
          <w:color w:val="auto"/>
        </w:rPr>
        <w:t xml:space="preserve">ate is set differentially using matters as prescribed in Schedule 2 of the LGRA, and as listed in the Funding Impact Statement. The LGRA Schedule 2 allows councils to </w:t>
      </w:r>
      <w:r w:rsidRPr="000F7EEE">
        <w:rPr>
          <w:color w:val="auto"/>
        </w:rPr>
        <w:t>set a General R</w:t>
      </w:r>
      <w:r w:rsidR="00243924" w:rsidRPr="000F7EEE">
        <w:rPr>
          <w:color w:val="auto"/>
        </w:rPr>
        <w:t>ate based on each of these matters.</w:t>
      </w:r>
    </w:p>
    <w:p w14:paraId="372AA703" w14:textId="77777777" w:rsidR="000D2659" w:rsidRPr="000D2659" w:rsidRDefault="00243924" w:rsidP="000D2659">
      <w:pPr>
        <w:pStyle w:val="Subtitle"/>
      </w:pPr>
      <w:r w:rsidRPr="000D2659">
        <w:t xml:space="preserve">General rate differentials </w:t>
      </w:r>
    </w:p>
    <w:p w14:paraId="7A55E0C6" w14:textId="77777777" w:rsidR="000D2659" w:rsidRPr="000F7EEE" w:rsidRDefault="000D2659" w:rsidP="00243924">
      <w:pPr>
        <w:rPr>
          <w:color w:val="auto"/>
        </w:rPr>
      </w:pPr>
      <w:r w:rsidRPr="000F7EEE">
        <w:rPr>
          <w:color w:val="auto"/>
        </w:rPr>
        <w:t>Rating Units assessed for the General R</w:t>
      </w:r>
      <w:r w:rsidR="00243924" w:rsidRPr="000F7EEE">
        <w:rPr>
          <w:color w:val="auto"/>
        </w:rPr>
        <w:t xml:space="preserve">ate are categorised into one of </w:t>
      </w:r>
      <w:r w:rsidR="0012524E" w:rsidRPr="000F7EEE">
        <w:rPr>
          <w:color w:val="auto"/>
        </w:rPr>
        <w:t>four</w:t>
      </w:r>
      <w:r w:rsidR="00243924" w:rsidRPr="000F7EEE">
        <w:rPr>
          <w:color w:val="auto"/>
        </w:rPr>
        <w:t xml:space="preserve"> differential categories:</w:t>
      </w:r>
    </w:p>
    <w:p w14:paraId="4B9CFF18" w14:textId="77777777" w:rsidR="00243924" w:rsidRPr="000F7EEE" w:rsidRDefault="000D2659" w:rsidP="000D2659">
      <w:pPr>
        <w:pStyle w:val="ListParagraph"/>
        <w:numPr>
          <w:ilvl w:val="0"/>
          <w:numId w:val="6"/>
        </w:numPr>
        <w:rPr>
          <w:b w:val="0"/>
          <w:color w:val="auto"/>
          <w:sz w:val="21"/>
          <w:szCs w:val="21"/>
        </w:rPr>
      </w:pPr>
      <w:r w:rsidRPr="000F7EEE">
        <w:rPr>
          <w:b w:val="0"/>
          <w:color w:val="auto"/>
          <w:sz w:val="21"/>
          <w:szCs w:val="21"/>
        </w:rPr>
        <w:t>Residential</w:t>
      </w:r>
      <w:r w:rsidR="0012524E" w:rsidRPr="000F7EEE">
        <w:rPr>
          <w:b w:val="0"/>
          <w:color w:val="auto"/>
          <w:sz w:val="21"/>
          <w:szCs w:val="21"/>
        </w:rPr>
        <w:t>/Other</w:t>
      </w:r>
    </w:p>
    <w:p w14:paraId="60F31C99" w14:textId="77777777" w:rsidR="000D2659" w:rsidRPr="000F7EEE" w:rsidRDefault="000D2659" w:rsidP="000D2659">
      <w:pPr>
        <w:pStyle w:val="ListParagraph"/>
        <w:numPr>
          <w:ilvl w:val="0"/>
          <w:numId w:val="6"/>
        </w:numPr>
        <w:rPr>
          <w:b w:val="0"/>
          <w:color w:val="auto"/>
          <w:sz w:val="21"/>
          <w:szCs w:val="21"/>
        </w:rPr>
      </w:pPr>
      <w:r w:rsidRPr="000F7EEE">
        <w:rPr>
          <w:b w:val="0"/>
          <w:color w:val="auto"/>
          <w:sz w:val="21"/>
          <w:szCs w:val="21"/>
        </w:rPr>
        <w:t>Commercial &amp; Industrial</w:t>
      </w:r>
    </w:p>
    <w:p w14:paraId="699D1476" w14:textId="77777777" w:rsidR="000D2659" w:rsidRPr="000F7EEE" w:rsidRDefault="000D2659" w:rsidP="000D2659">
      <w:pPr>
        <w:pStyle w:val="ListParagraph"/>
        <w:numPr>
          <w:ilvl w:val="0"/>
          <w:numId w:val="6"/>
        </w:numPr>
        <w:rPr>
          <w:b w:val="0"/>
          <w:color w:val="auto"/>
          <w:sz w:val="21"/>
          <w:szCs w:val="21"/>
        </w:rPr>
      </w:pPr>
      <w:r w:rsidRPr="000F7EEE">
        <w:rPr>
          <w:b w:val="0"/>
          <w:color w:val="auto"/>
          <w:sz w:val="21"/>
          <w:szCs w:val="21"/>
        </w:rPr>
        <w:t>Rural</w:t>
      </w:r>
    </w:p>
    <w:p w14:paraId="4A26EEE0" w14:textId="77777777" w:rsidR="000F7EEE" w:rsidRPr="000F7EEE" w:rsidRDefault="000F7EEE" w:rsidP="000D2659">
      <w:pPr>
        <w:pStyle w:val="ListParagraph"/>
        <w:numPr>
          <w:ilvl w:val="0"/>
          <w:numId w:val="6"/>
        </w:numPr>
        <w:rPr>
          <w:b w:val="0"/>
          <w:color w:val="auto"/>
          <w:sz w:val="21"/>
          <w:szCs w:val="21"/>
        </w:rPr>
      </w:pPr>
      <w:r w:rsidRPr="000F7EEE">
        <w:rPr>
          <w:b w:val="0"/>
          <w:color w:val="auto"/>
          <w:sz w:val="21"/>
          <w:szCs w:val="21"/>
        </w:rPr>
        <w:t>Rural Residential</w:t>
      </w:r>
    </w:p>
    <w:p w14:paraId="52A6D274" w14:textId="77777777" w:rsidR="000D2659" w:rsidRPr="000F7EEE" w:rsidRDefault="000D2659" w:rsidP="000D2659">
      <w:pPr>
        <w:rPr>
          <w:b/>
          <w:color w:val="auto"/>
          <w:u w:val="single"/>
        </w:rPr>
      </w:pPr>
      <w:r w:rsidRPr="000F7EEE">
        <w:rPr>
          <w:b/>
          <w:color w:val="auto"/>
          <w:u w:val="single"/>
        </w:rPr>
        <w:t>Residential</w:t>
      </w:r>
      <w:r w:rsidR="0012524E" w:rsidRPr="000F7EEE">
        <w:rPr>
          <w:b/>
          <w:color w:val="auto"/>
          <w:u w:val="single"/>
        </w:rPr>
        <w:t>/Other</w:t>
      </w:r>
    </w:p>
    <w:p w14:paraId="64E48621" w14:textId="77777777" w:rsidR="000D2659" w:rsidRPr="000F7EEE" w:rsidRDefault="000D2659" w:rsidP="000D2659">
      <w:pPr>
        <w:rPr>
          <w:rFonts w:ascii="CIDFont+F4" w:hAnsi="CIDFont+F4" w:cs="CIDFont+F4"/>
          <w:color w:val="auto"/>
          <w:lang w:eastAsia="en-NZ"/>
        </w:rPr>
      </w:pPr>
      <w:r w:rsidRPr="000F7EEE">
        <w:rPr>
          <w:rFonts w:ascii="CIDFont+F4" w:hAnsi="CIDFont+F4" w:cs="CIDFont+F4"/>
          <w:color w:val="auto"/>
          <w:lang w:eastAsia="en-NZ"/>
        </w:rPr>
        <w:t xml:space="preserve">Any property that is not defined as Commercial &amp; Industrial, </w:t>
      </w:r>
      <w:r w:rsidR="0012524E" w:rsidRPr="000F7EEE">
        <w:rPr>
          <w:rFonts w:ascii="CIDFont+F4" w:hAnsi="CIDFont+F4" w:cs="CIDFont+F4"/>
          <w:color w:val="auto"/>
          <w:lang w:eastAsia="en-NZ"/>
        </w:rPr>
        <w:t xml:space="preserve">Rural </w:t>
      </w:r>
      <w:r w:rsidR="000F7EEE">
        <w:rPr>
          <w:rFonts w:ascii="CIDFont+F4" w:hAnsi="CIDFont+F4" w:cs="CIDFont+F4"/>
          <w:color w:val="auto"/>
          <w:lang w:eastAsia="en-NZ"/>
        </w:rPr>
        <w:t xml:space="preserve">Residential </w:t>
      </w:r>
      <w:r w:rsidRPr="000F7EEE">
        <w:rPr>
          <w:rFonts w:ascii="CIDFont+F4" w:hAnsi="CIDFont+F4" w:cs="CIDFont+F4"/>
          <w:color w:val="auto"/>
          <w:lang w:eastAsia="en-NZ"/>
        </w:rPr>
        <w:t>or Rural.</w:t>
      </w:r>
    </w:p>
    <w:p w14:paraId="2DFA7F99" w14:textId="77777777" w:rsidR="000D2659" w:rsidRPr="000D2659" w:rsidRDefault="000D2659" w:rsidP="000D2659">
      <w:pPr>
        <w:rPr>
          <w:rFonts w:ascii="CIDFont+F4" w:hAnsi="CIDFont+F4" w:cs="CIDFont+F4"/>
          <w:b/>
          <w:color w:val="auto"/>
          <w:u w:val="single"/>
          <w:lang w:eastAsia="en-NZ"/>
        </w:rPr>
      </w:pPr>
      <w:r w:rsidRPr="000D2659">
        <w:rPr>
          <w:rFonts w:ascii="CIDFont+F4" w:hAnsi="CIDFont+F4" w:cs="CIDFont+F4"/>
          <w:b/>
          <w:color w:val="auto"/>
          <w:u w:val="single"/>
          <w:lang w:eastAsia="en-NZ"/>
        </w:rPr>
        <w:t>Commercial &amp; Industrial</w:t>
      </w:r>
    </w:p>
    <w:p w14:paraId="7DFDE1BA" w14:textId="77777777" w:rsidR="000D2659" w:rsidRDefault="000D2659" w:rsidP="000D2659">
      <w:pPr>
        <w:rPr>
          <w:rFonts w:ascii="CIDFont+F4" w:hAnsi="CIDFont+F4" w:cs="CIDFont+F4"/>
          <w:color w:val="auto"/>
          <w:lang w:eastAsia="en-NZ"/>
        </w:rPr>
      </w:pPr>
      <w:r>
        <w:rPr>
          <w:rFonts w:ascii="CIDFont+F4" w:hAnsi="CIDFont+F4" w:cs="CIDFont+F4"/>
          <w:color w:val="auto"/>
          <w:lang w:eastAsia="en-NZ"/>
        </w:rPr>
        <w:t>Any property that is in a commercial or industrial zone under the District Plan or used for any business activities, except properties categorised as rural</w:t>
      </w:r>
      <w:r w:rsidR="0022275B">
        <w:rPr>
          <w:rFonts w:ascii="CIDFont+F4" w:hAnsi="CIDFont+F4" w:cs="CIDFont+F4"/>
          <w:color w:val="auto"/>
          <w:lang w:eastAsia="en-NZ"/>
        </w:rPr>
        <w:t xml:space="preserve"> or consented for residential use</w:t>
      </w:r>
      <w:r>
        <w:rPr>
          <w:rFonts w:ascii="CIDFont+F4" w:hAnsi="CIDFont+F4" w:cs="CIDFont+F4"/>
          <w:color w:val="auto"/>
          <w:lang w:eastAsia="en-NZ"/>
        </w:rPr>
        <w:t>, will be rated as commercial and industrial properties.</w:t>
      </w:r>
    </w:p>
    <w:p w14:paraId="0FC991E9" w14:textId="77777777" w:rsidR="000D2659" w:rsidRDefault="000D2659" w:rsidP="000D2659">
      <w:pPr>
        <w:rPr>
          <w:rFonts w:ascii="CIDFont+F4" w:hAnsi="CIDFont+F4" w:cs="CIDFont+F4"/>
          <w:color w:val="auto"/>
          <w:lang w:eastAsia="en-NZ"/>
        </w:rPr>
      </w:pPr>
      <w:r>
        <w:rPr>
          <w:rFonts w:ascii="CIDFont+F4" w:hAnsi="CIDFont+F4" w:cs="CIDFont+F4"/>
          <w:color w:val="auto"/>
          <w:lang w:eastAsia="en-NZ"/>
        </w:rPr>
        <w:t>Commercial and industrial activities include, but are not restricted solely to:</w:t>
      </w:r>
    </w:p>
    <w:p w14:paraId="42EF5C81" w14:textId="2F4560B8" w:rsidR="000D2659" w:rsidRPr="000D2659" w:rsidRDefault="000D2659" w:rsidP="000D2659">
      <w:pPr>
        <w:pStyle w:val="ListParagraph"/>
        <w:numPr>
          <w:ilvl w:val="0"/>
          <w:numId w:val="6"/>
        </w:numPr>
        <w:rPr>
          <w:b w:val="0"/>
          <w:sz w:val="21"/>
          <w:szCs w:val="21"/>
        </w:rPr>
      </w:pPr>
      <w:r w:rsidRPr="000D2659">
        <w:rPr>
          <w:b w:val="0"/>
          <w:sz w:val="21"/>
          <w:szCs w:val="21"/>
        </w:rPr>
        <w:t xml:space="preserve">Rural and other </w:t>
      </w:r>
      <w:r w:rsidR="005674A5">
        <w:rPr>
          <w:b w:val="0"/>
          <w:sz w:val="21"/>
          <w:szCs w:val="21"/>
        </w:rPr>
        <w:t>similar activities</w:t>
      </w:r>
      <w:r w:rsidRPr="000D2659">
        <w:rPr>
          <w:b w:val="0"/>
          <w:sz w:val="21"/>
          <w:szCs w:val="21"/>
        </w:rPr>
        <w:t xml:space="preserve"> such as transport, supplies, packhouses and wineries servicing multiple clients</w:t>
      </w:r>
    </w:p>
    <w:p w14:paraId="73BC97ED" w14:textId="77777777" w:rsidR="000D2659" w:rsidRPr="000D2659" w:rsidRDefault="000D2659" w:rsidP="000D2659">
      <w:pPr>
        <w:pStyle w:val="ListParagraph"/>
        <w:numPr>
          <w:ilvl w:val="0"/>
          <w:numId w:val="6"/>
        </w:numPr>
        <w:rPr>
          <w:b w:val="0"/>
          <w:sz w:val="21"/>
          <w:szCs w:val="21"/>
        </w:rPr>
      </w:pPr>
      <w:r w:rsidRPr="000D2659">
        <w:rPr>
          <w:b w:val="0"/>
          <w:sz w:val="21"/>
          <w:szCs w:val="21"/>
        </w:rPr>
        <w:t>Professional offices, surgeries etc.</w:t>
      </w:r>
    </w:p>
    <w:p w14:paraId="251D61D9" w14:textId="77777777" w:rsidR="000D2659" w:rsidRPr="000D2659" w:rsidRDefault="000D2659" w:rsidP="000D2659">
      <w:pPr>
        <w:pStyle w:val="ListParagraph"/>
        <w:numPr>
          <w:ilvl w:val="0"/>
          <w:numId w:val="6"/>
        </w:numPr>
        <w:rPr>
          <w:b w:val="0"/>
          <w:sz w:val="21"/>
          <w:szCs w:val="21"/>
        </w:rPr>
      </w:pPr>
      <w:r w:rsidRPr="000D2659">
        <w:rPr>
          <w:b w:val="0"/>
          <w:sz w:val="21"/>
          <w:szCs w:val="21"/>
        </w:rPr>
        <w:t>All retail, wholesale merchandising activities</w:t>
      </w:r>
    </w:p>
    <w:p w14:paraId="733F9A52" w14:textId="77777777" w:rsidR="000D2659" w:rsidRPr="000D2659" w:rsidRDefault="000D2659" w:rsidP="000D2659">
      <w:pPr>
        <w:pStyle w:val="ListParagraph"/>
        <w:numPr>
          <w:ilvl w:val="0"/>
          <w:numId w:val="6"/>
        </w:numPr>
        <w:rPr>
          <w:b w:val="0"/>
          <w:sz w:val="21"/>
          <w:szCs w:val="21"/>
        </w:rPr>
      </w:pPr>
      <w:r w:rsidRPr="000D2659">
        <w:rPr>
          <w:b w:val="0"/>
          <w:sz w:val="21"/>
          <w:szCs w:val="21"/>
        </w:rPr>
        <w:t>All forms of manufacturing and processing</w:t>
      </w:r>
    </w:p>
    <w:p w14:paraId="6A10297B" w14:textId="77777777" w:rsidR="000D2659" w:rsidRPr="000D2659" w:rsidRDefault="000D2659" w:rsidP="000D2659">
      <w:pPr>
        <w:pStyle w:val="ListParagraph"/>
        <w:numPr>
          <w:ilvl w:val="0"/>
          <w:numId w:val="6"/>
        </w:numPr>
        <w:rPr>
          <w:b w:val="0"/>
          <w:sz w:val="21"/>
          <w:szCs w:val="21"/>
        </w:rPr>
      </w:pPr>
      <w:r w:rsidRPr="000D2659">
        <w:rPr>
          <w:b w:val="0"/>
          <w:sz w:val="21"/>
          <w:szCs w:val="21"/>
        </w:rPr>
        <w:t>Bars, restaurants, cafes and other service activities</w:t>
      </w:r>
    </w:p>
    <w:p w14:paraId="091450E4" w14:textId="77777777" w:rsidR="000D2659" w:rsidRPr="000D2659" w:rsidRDefault="000D2659" w:rsidP="000D2659">
      <w:pPr>
        <w:pStyle w:val="ListParagraph"/>
        <w:numPr>
          <w:ilvl w:val="0"/>
          <w:numId w:val="6"/>
        </w:numPr>
        <w:rPr>
          <w:b w:val="0"/>
          <w:sz w:val="21"/>
          <w:szCs w:val="21"/>
        </w:rPr>
      </w:pPr>
      <w:r w:rsidRPr="000D2659">
        <w:rPr>
          <w:b w:val="0"/>
          <w:sz w:val="21"/>
          <w:szCs w:val="21"/>
        </w:rPr>
        <w:t>Storage facilities</w:t>
      </w:r>
    </w:p>
    <w:p w14:paraId="6B70024F" w14:textId="77777777" w:rsidR="000D2659" w:rsidRPr="000D2659" w:rsidRDefault="000D2659" w:rsidP="000D2659">
      <w:pPr>
        <w:pStyle w:val="ListParagraph"/>
        <w:numPr>
          <w:ilvl w:val="0"/>
          <w:numId w:val="6"/>
        </w:numPr>
        <w:rPr>
          <w:b w:val="0"/>
          <w:sz w:val="21"/>
          <w:szCs w:val="21"/>
        </w:rPr>
      </w:pPr>
      <w:r w:rsidRPr="000D2659">
        <w:rPr>
          <w:b w:val="0"/>
          <w:sz w:val="21"/>
          <w:szCs w:val="21"/>
        </w:rPr>
        <w:t>Hotels, motels, B &amp; B’s and other short-term accommodation providers</w:t>
      </w:r>
    </w:p>
    <w:p w14:paraId="4315757A" w14:textId="77777777" w:rsidR="000D2659" w:rsidRPr="000D2659" w:rsidRDefault="000D2659" w:rsidP="000D2659">
      <w:pPr>
        <w:pStyle w:val="ListParagraph"/>
        <w:numPr>
          <w:ilvl w:val="0"/>
          <w:numId w:val="6"/>
        </w:numPr>
        <w:rPr>
          <w:b w:val="0"/>
          <w:sz w:val="21"/>
          <w:szCs w:val="21"/>
        </w:rPr>
      </w:pPr>
      <w:r w:rsidRPr="000D2659">
        <w:rPr>
          <w:b w:val="0"/>
          <w:sz w:val="21"/>
          <w:szCs w:val="21"/>
        </w:rPr>
        <w:t>Tourism operations</w:t>
      </w:r>
    </w:p>
    <w:p w14:paraId="2948AF00" w14:textId="77777777" w:rsidR="000D2659" w:rsidRPr="000D2659" w:rsidRDefault="000D2659" w:rsidP="000D2659">
      <w:pPr>
        <w:pStyle w:val="ListParagraph"/>
        <w:numPr>
          <w:ilvl w:val="0"/>
          <w:numId w:val="6"/>
        </w:numPr>
        <w:rPr>
          <w:b w:val="0"/>
          <w:sz w:val="21"/>
          <w:szCs w:val="21"/>
        </w:rPr>
      </w:pPr>
      <w:r w:rsidRPr="000D2659">
        <w:rPr>
          <w:b w:val="0"/>
          <w:sz w:val="21"/>
          <w:szCs w:val="21"/>
        </w:rPr>
        <w:t>Care facilities operated for profit</w:t>
      </w:r>
    </w:p>
    <w:p w14:paraId="646E5922" w14:textId="77777777" w:rsidR="0012524E" w:rsidRDefault="0012524E" w:rsidP="0012524E">
      <w:pPr>
        <w:pStyle w:val="ListParagraph"/>
        <w:numPr>
          <w:ilvl w:val="0"/>
          <w:numId w:val="6"/>
        </w:numPr>
        <w:rPr>
          <w:u w:val="single"/>
        </w:rPr>
      </w:pPr>
    </w:p>
    <w:p w14:paraId="785E47C9" w14:textId="77777777" w:rsidR="0012524E" w:rsidRPr="0012524E" w:rsidRDefault="0012524E" w:rsidP="0012524E">
      <w:pPr>
        <w:rPr>
          <w:b/>
          <w:u w:val="single"/>
        </w:rPr>
      </w:pPr>
      <w:r w:rsidRPr="0012524E">
        <w:rPr>
          <w:b/>
          <w:u w:val="single"/>
        </w:rPr>
        <w:t>Rural</w:t>
      </w:r>
      <w:r w:rsidR="000F7EEE">
        <w:rPr>
          <w:b/>
          <w:u w:val="single"/>
        </w:rPr>
        <w:t xml:space="preserve"> Residential</w:t>
      </w:r>
    </w:p>
    <w:p w14:paraId="53F4F370" w14:textId="77777777" w:rsidR="0012524E" w:rsidRPr="0012524E" w:rsidRDefault="0012524E" w:rsidP="0012524E">
      <w:pPr>
        <w:autoSpaceDE w:val="0"/>
        <w:autoSpaceDN w:val="0"/>
        <w:adjustRightInd w:val="0"/>
        <w:spacing w:after="0" w:line="240" w:lineRule="auto"/>
        <w:jc w:val="left"/>
        <w:rPr>
          <w:rFonts w:ascii="CIDFont+F4" w:hAnsi="CIDFont+F4" w:cs="CIDFont+F4"/>
          <w:color w:val="auto"/>
          <w:lang w:eastAsia="en-NZ"/>
        </w:rPr>
      </w:pPr>
      <w:r w:rsidRPr="0012524E">
        <w:rPr>
          <w:rFonts w:ascii="CIDFont+F4" w:hAnsi="CIDFont+F4" w:cs="CIDFont+F4"/>
          <w:color w:val="auto"/>
          <w:lang w:eastAsia="en-NZ"/>
        </w:rPr>
        <w:t xml:space="preserve">Any rating unit </w:t>
      </w:r>
      <w:r>
        <w:rPr>
          <w:rFonts w:ascii="CIDFont+F4" w:hAnsi="CIDFont+F4" w:cs="CIDFont+F4"/>
          <w:color w:val="auto"/>
          <w:lang w:eastAsia="en-NZ"/>
        </w:rPr>
        <w:t xml:space="preserve">that would otherwise be classified as Residential, but is not </w:t>
      </w:r>
      <w:r>
        <w:t>connected or able to be connected to</w:t>
      </w:r>
      <w:r>
        <w:rPr>
          <w:rFonts w:ascii="CIDFont+F4" w:hAnsi="CIDFont+F4" w:cs="CIDFont+F4"/>
          <w:color w:val="auto"/>
          <w:lang w:eastAsia="en-NZ"/>
        </w:rPr>
        <w:t xml:space="preserve"> both the city water system and the city sewerage system.</w:t>
      </w:r>
    </w:p>
    <w:p w14:paraId="772BEE9E" w14:textId="77777777" w:rsidR="0012524E" w:rsidRPr="0012524E" w:rsidRDefault="0012524E" w:rsidP="0012524E">
      <w:pPr>
        <w:autoSpaceDE w:val="0"/>
        <w:autoSpaceDN w:val="0"/>
        <w:adjustRightInd w:val="0"/>
        <w:spacing w:after="0" w:line="240" w:lineRule="auto"/>
        <w:jc w:val="left"/>
        <w:rPr>
          <w:rFonts w:ascii="CIDFont+F4" w:hAnsi="CIDFont+F4" w:cs="CIDFont+F4"/>
          <w:color w:val="auto"/>
          <w:lang w:eastAsia="en-NZ"/>
        </w:rPr>
      </w:pPr>
    </w:p>
    <w:p w14:paraId="6B6E28EB" w14:textId="77777777" w:rsidR="000D2659" w:rsidRPr="000D2659" w:rsidRDefault="000D2659" w:rsidP="000D2659">
      <w:pPr>
        <w:rPr>
          <w:b/>
          <w:u w:val="single"/>
        </w:rPr>
      </w:pPr>
      <w:r w:rsidRPr="000D2659">
        <w:rPr>
          <w:b/>
          <w:u w:val="single"/>
        </w:rPr>
        <w:t>Rural</w:t>
      </w:r>
    </w:p>
    <w:p w14:paraId="7C24B395" w14:textId="77777777" w:rsidR="000D2659" w:rsidRDefault="000D2659" w:rsidP="000D2659">
      <w:pPr>
        <w:autoSpaceDE w:val="0"/>
        <w:autoSpaceDN w:val="0"/>
        <w:adjustRightInd w:val="0"/>
        <w:spacing w:after="0" w:line="240" w:lineRule="auto"/>
        <w:jc w:val="left"/>
      </w:pPr>
      <w:r>
        <w:rPr>
          <w:rFonts w:ascii="CIDFont+F4" w:hAnsi="CIDFont+F4" w:cs="CIDFont+F4"/>
          <w:color w:val="auto"/>
          <w:lang w:eastAsia="en-NZ"/>
        </w:rPr>
        <w:t>Any rating unit with an area of 5 Hectares or more that is used predominantly for land based agricultural or farming activities.</w:t>
      </w:r>
    </w:p>
    <w:p w14:paraId="270A50D8" w14:textId="77777777" w:rsidR="000D2659" w:rsidRDefault="000D2659" w:rsidP="000D2659"/>
    <w:p w14:paraId="51CC2FBB" w14:textId="77777777" w:rsidR="00251B6D" w:rsidRPr="00251B6D" w:rsidRDefault="00251B6D" w:rsidP="000D2659">
      <w:pPr>
        <w:rPr>
          <w:b/>
          <w:u w:val="single"/>
        </w:rPr>
      </w:pPr>
      <w:r w:rsidRPr="00251B6D">
        <w:rPr>
          <w:b/>
          <w:u w:val="single"/>
        </w:rPr>
        <w:t>Differentials</w:t>
      </w:r>
    </w:p>
    <w:p w14:paraId="214FFACB" w14:textId="77777777" w:rsidR="00251B6D" w:rsidRDefault="00797E9A" w:rsidP="000D2659">
      <w:r>
        <w:t>A review of the Revenue &amp; Financing Policy was conducted with adoption occurring in February 2021. New differentials were introduced. Based on the review, t</w:t>
      </w:r>
      <w:r w:rsidR="00251B6D">
        <w:t>he following are the differentials to be applied based on the land value of properties in each differential category.</w:t>
      </w:r>
    </w:p>
    <w:tbl>
      <w:tblPr>
        <w:tblW w:w="9156" w:type="dxa"/>
        <w:tblLook w:val="04A0" w:firstRow="1" w:lastRow="0" w:firstColumn="1" w:lastColumn="0" w:noHBand="0" w:noVBand="1"/>
      </w:tblPr>
      <w:tblGrid>
        <w:gridCol w:w="4204"/>
        <w:gridCol w:w="2476"/>
        <w:gridCol w:w="2476"/>
      </w:tblGrid>
      <w:tr w:rsidR="00251B6D" w:rsidRPr="00251B6D" w14:paraId="75FB154C" w14:textId="77777777" w:rsidTr="004801EE">
        <w:trPr>
          <w:trHeight w:val="600"/>
        </w:trPr>
        <w:tc>
          <w:tcPr>
            <w:tcW w:w="4204" w:type="dxa"/>
            <w:tcBorders>
              <w:top w:val="nil"/>
              <w:bottom w:val="single" w:sz="4" w:space="0" w:color="00B0F0"/>
              <w:right w:val="single" w:sz="4" w:space="0" w:color="FFFFFF" w:themeColor="background1"/>
            </w:tcBorders>
            <w:shd w:val="clear" w:color="auto" w:fill="00B0F0"/>
            <w:vAlign w:val="bottom"/>
            <w:hideMark/>
          </w:tcPr>
          <w:p w14:paraId="1454F9C4" w14:textId="77777777" w:rsidR="00251B6D" w:rsidRPr="00251B6D" w:rsidRDefault="00251B6D" w:rsidP="00251B6D">
            <w:pPr>
              <w:spacing w:line="240" w:lineRule="auto"/>
              <w:jc w:val="left"/>
              <w:rPr>
                <w:rFonts w:ascii="Calibri" w:eastAsia="Times New Roman" w:hAnsi="Calibri" w:cs="Calibri"/>
                <w:b/>
                <w:color w:val="FFFFFF" w:themeColor="background1"/>
                <w:sz w:val="22"/>
                <w:szCs w:val="22"/>
                <w:lang w:eastAsia="en-NZ"/>
              </w:rPr>
            </w:pPr>
            <w:r w:rsidRPr="00251B6D">
              <w:rPr>
                <w:rFonts w:ascii="Calibri" w:eastAsia="Times New Roman" w:hAnsi="Calibri" w:cs="Calibri"/>
                <w:b/>
                <w:color w:val="FFFFFF" w:themeColor="background1"/>
                <w:sz w:val="22"/>
                <w:szCs w:val="22"/>
                <w:lang w:eastAsia="en-NZ"/>
              </w:rPr>
              <w:t>Differentials</w:t>
            </w:r>
          </w:p>
        </w:tc>
        <w:tc>
          <w:tcPr>
            <w:tcW w:w="2476" w:type="dxa"/>
            <w:tcBorders>
              <w:top w:val="nil"/>
              <w:left w:val="single" w:sz="4" w:space="0" w:color="FFFFFF" w:themeColor="background1"/>
              <w:bottom w:val="single" w:sz="4" w:space="0" w:color="00B0F0"/>
              <w:right w:val="single" w:sz="4" w:space="0" w:color="FFFFFF" w:themeColor="background1"/>
            </w:tcBorders>
            <w:shd w:val="clear" w:color="auto" w:fill="00B0F0"/>
          </w:tcPr>
          <w:p w14:paraId="1AFE9AA3" w14:textId="77777777" w:rsidR="00251B6D" w:rsidRPr="00251B6D" w:rsidRDefault="00251B6D" w:rsidP="00251B6D">
            <w:pPr>
              <w:spacing w:line="240" w:lineRule="auto"/>
              <w:jc w:val="center"/>
              <w:rPr>
                <w:rFonts w:ascii="Calibri" w:eastAsia="Times New Roman" w:hAnsi="Calibri" w:cs="Calibri"/>
                <w:b/>
                <w:color w:val="FFFFFF" w:themeColor="background1"/>
                <w:sz w:val="22"/>
                <w:szCs w:val="22"/>
                <w:lang w:eastAsia="en-NZ"/>
              </w:rPr>
            </w:pPr>
          </w:p>
          <w:p w14:paraId="347F2F2A" w14:textId="77777777" w:rsidR="00251B6D" w:rsidRPr="00251B6D" w:rsidRDefault="00251B6D" w:rsidP="00251B6D">
            <w:pPr>
              <w:spacing w:line="240" w:lineRule="auto"/>
              <w:jc w:val="center"/>
              <w:rPr>
                <w:rFonts w:ascii="Calibri" w:eastAsia="Times New Roman" w:hAnsi="Calibri" w:cs="Calibri"/>
                <w:b/>
                <w:color w:val="FFFFFF" w:themeColor="background1"/>
                <w:sz w:val="22"/>
                <w:szCs w:val="22"/>
                <w:lang w:eastAsia="en-NZ"/>
              </w:rPr>
            </w:pPr>
            <w:r w:rsidRPr="00251B6D">
              <w:rPr>
                <w:rFonts w:ascii="Calibri" w:eastAsia="Times New Roman" w:hAnsi="Calibri" w:cs="Calibri"/>
                <w:b/>
                <w:color w:val="FFFFFF" w:themeColor="background1"/>
                <w:sz w:val="22"/>
                <w:szCs w:val="22"/>
                <w:lang w:eastAsia="en-NZ"/>
              </w:rPr>
              <w:t>Group / Code</w:t>
            </w:r>
          </w:p>
        </w:tc>
        <w:tc>
          <w:tcPr>
            <w:tcW w:w="2476" w:type="dxa"/>
            <w:tcBorders>
              <w:top w:val="nil"/>
              <w:left w:val="single" w:sz="4" w:space="0" w:color="FFFFFF" w:themeColor="background1"/>
              <w:bottom w:val="single" w:sz="4" w:space="0" w:color="00B0F0"/>
            </w:tcBorders>
            <w:shd w:val="clear" w:color="auto" w:fill="00B0F0"/>
            <w:noWrap/>
            <w:vAlign w:val="bottom"/>
            <w:hideMark/>
          </w:tcPr>
          <w:p w14:paraId="0E4130D5" w14:textId="77777777" w:rsidR="00251B6D" w:rsidRPr="00251B6D" w:rsidRDefault="00251B6D" w:rsidP="00251B6D">
            <w:pPr>
              <w:spacing w:line="240" w:lineRule="auto"/>
              <w:jc w:val="center"/>
              <w:rPr>
                <w:rFonts w:ascii="Calibri" w:eastAsia="Times New Roman" w:hAnsi="Calibri" w:cs="Calibri"/>
                <w:b/>
                <w:color w:val="FFFFFF" w:themeColor="background1"/>
                <w:sz w:val="22"/>
                <w:szCs w:val="22"/>
                <w:lang w:eastAsia="en-NZ"/>
              </w:rPr>
            </w:pPr>
            <w:r w:rsidRPr="00251B6D">
              <w:rPr>
                <w:rFonts w:ascii="Calibri" w:eastAsia="Times New Roman" w:hAnsi="Calibri" w:cs="Calibri"/>
                <w:b/>
                <w:color w:val="FFFFFF" w:themeColor="background1"/>
                <w:sz w:val="22"/>
                <w:szCs w:val="22"/>
                <w:lang w:eastAsia="en-NZ"/>
              </w:rPr>
              <w:t>Differential Rate</w:t>
            </w:r>
          </w:p>
        </w:tc>
      </w:tr>
      <w:tr w:rsidR="00251B6D" w:rsidRPr="000A07D8" w14:paraId="7BE603B4" w14:textId="77777777" w:rsidTr="004801EE">
        <w:trPr>
          <w:trHeight w:val="600"/>
        </w:trPr>
        <w:tc>
          <w:tcPr>
            <w:tcW w:w="4204"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3C6CEE1C" w14:textId="77777777" w:rsidR="00251B6D" w:rsidRPr="000A07D8" w:rsidRDefault="00251B6D" w:rsidP="00251B6D">
            <w:pPr>
              <w:spacing w:line="240" w:lineRule="auto"/>
              <w:rPr>
                <w:rFonts w:ascii="Calibri" w:eastAsia="Times New Roman" w:hAnsi="Calibri" w:cs="Calibri"/>
                <w:color w:val="000000"/>
                <w:sz w:val="22"/>
                <w:szCs w:val="22"/>
                <w:lang w:eastAsia="en-NZ"/>
              </w:rPr>
            </w:pPr>
            <w:r w:rsidRPr="000A07D8">
              <w:rPr>
                <w:rFonts w:ascii="Calibri" w:eastAsia="Times New Roman" w:hAnsi="Calibri" w:cs="Calibri"/>
                <w:color w:val="000000"/>
                <w:sz w:val="22"/>
                <w:szCs w:val="22"/>
                <w:lang w:eastAsia="en-NZ"/>
              </w:rPr>
              <w:lastRenderedPageBreak/>
              <w:t>Residential / Other</w:t>
            </w:r>
          </w:p>
        </w:tc>
        <w:tc>
          <w:tcPr>
            <w:tcW w:w="2476" w:type="dxa"/>
            <w:tcBorders>
              <w:top w:val="single" w:sz="4" w:space="0" w:color="00B0F0"/>
              <w:left w:val="single" w:sz="4" w:space="0" w:color="00B0F0"/>
              <w:bottom w:val="single" w:sz="4" w:space="0" w:color="00B0F0"/>
              <w:right w:val="single" w:sz="4" w:space="0" w:color="00B0F0"/>
            </w:tcBorders>
          </w:tcPr>
          <w:p w14:paraId="39F7786C" w14:textId="77777777" w:rsidR="00214B5B" w:rsidRDefault="00214B5B" w:rsidP="00251B6D">
            <w:pPr>
              <w:spacing w:line="240" w:lineRule="auto"/>
              <w:jc w:val="center"/>
              <w:rPr>
                <w:rFonts w:ascii="Calibri" w:eastAsia="Times New Roman" w:hAnsi="Calibri" w:cs="Calibri"/>
                <w:color w:val="000000"/>
                <w:sz w:val="22"/>
                <w:szCs w:val="22"/>
                <w:lang w:eastAsia="en-NZ"/>
              </w:rPr>
            </w:pPr>
          </w:p>
          <w:p w14:paraId="65D38F50" w14:textId="77777777" w:rsidR="00251B6D" w:rsidRPr="000A07D8" w:rsidRDefault="00251B6D"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1</w:t>
            </w:r>
          </w:p>
        </w:tc>
        <w:tc>
          <w:tcPr>
            <w:tcW w:w="247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002DE63B" w14:textId="77777777" w:rsidR="00251B6D" w:rsidRPr="000A07D8" w:rsidRDefault="00251B6D" w:rsidP="00251B6D">
            <w:pPr>
              <w:spacing w:line="240" w:lineRule="auto"/>
              <w:jc w:val="center"/>
              <w:rPr>
                <w:rFonts w:ascii="Calibri" w:eastAsia="Times New Roman" w:hAnsi="Calibri" w:cs="Calibri"/>
                <w:color w:val="000000"/>
                <w:sz w:val="22"/>
                <w:szCs w:val="22"/>
                <w:lang w:eastAsia="en-NZ"/>
              </w:rPr>
            </w:pPr>
            <w:r w:rsidRPr="000A07D8">
              <w:rPr>
                <w:rFonts w:ascii="Calibri" w:eastAsia="Times New Roman" w:hAnsi="Calibri" w:cs="Calibri"/>
                <w:color w:val="000000"/>
                <w:sz w:val="22"/>
                <w:szCs w:val="22"/>
                <w:lang w:eastAsia="en-NZ"/>
              </w:rPr>
              <w:t>100%</w:t>
            </w:r>
          </w:p>
        </w:tc>
      </w:tr>
      <w:tr w:rsidR="00251B6D" w:rsidRPr="000A07D8" w14:paraId="1686A153" w14:textId="77777777" w:rsidTr="004801EE">
        <w:trPr>
          <w:trHeight w:val="600"/>
        </w:trPr>
        <w:tc>
          <w:tcPr>
            <w:tcW w:w="4204"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4228F8EB" w14:textId="77777777" w:rsidR="00251B6D" w:rsidRPr="000A07D8" w:rsidRDefault="008D70F9" w:rsidP="00251B6D">
            <w:pPr>
              <w:spacing w:line="240" w:lineRule="auto"/>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Commercial &amp; Industrial</w:t>
            </w:r>
          </w:p>
        </w:tc>
        <w:tc>
          <w:tcPr>
            <w:tcW w:w="2476" w:type="dxa"/>
            <w:tcBorders>
              <w:top w:val="single" w:sz="4" w:space="0" w:color="00B0F0"/>
              <w:left w:val="single" w:sz="4" w:space="0" w:color="00B0F0"/>
              <w:bottom w:val="single" w:sz="4" w:space="0" w:color="00B0F0"/>
              <w:right w:val="single" w:sz="4" w:space="0" w:color="00B0F0"/>
            </w:tcBorders>
          </w:tcPr>
          <w:p w14:paraId="38E22038" w14:textId="77777777" w:rsidR="00214B5B" w:rsidRDefault="00214B5B" w:rsidP="00251B6D">
            <w:pPr>
              <w:spacing w:line="240" w:lineRule="auto"/>
              <w:jc w:val="center"/>
              <w:rPr>
                <w:rFonts w:ascii="Calibri" w:eastAsia="Times New Roman" w:hAnsi="Calibri" w:cs="Calibri"/>
                <w:color w:val="000000"/>
                <w:sz w:val="22"/>
                <w:szCs w:val="22"/>
                <w:lang w:eastAsia="en-NZ"/>
              </w:rPr>
            </w:pPr>
          </w:p>
          <w:p w14:paraId="55FADDCF" w14:textId="77777777" w:rsidR="00251B6D" w:rsidRPr="000A07D8" w:rsidRDefault="00251B6D"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2</w:t>
            </w:r>
          </w:p>
        </w:tc>
        <w:tc>
          <w:tcPr>
            <w:tcW w:w="247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141C2365" w14:textId="77777777" w:rsidR="00251B6D" w:rsidRPr="000A07D8" w:rsidRDefault="008D70F9" w:rsidP="00526684">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2</w:t>
            </w:r>
            <w:r w:rsidR="00526684">
              <w:rPr>
                <w:rFonts w:ascii="Calibri" w:eastAsia="Times New Roman" w:hAnsi="Calibri" w:cs="Calibri"/>
                <w:color w:val="000000"/>
                <w:sz w:val="22"/>
                <w:szCs w:val="22"/>
                <w:lang w:eastAsia="en-NZ"/>
              </w:rPr>
              <w:t>6</w:t>
            </w:r>
            <w:r>
              <w:rPr>
                <w:rFonts w:ascii="Calibri" w:eastAsia="Times New Roman" w:hAnsi="Calibri" w:cs="Calibri"/>
                <w:color w:val="000000"/>
                <w:sz w:val="22"/>
                <w:szCs w:val="22"/>
                <w:lang w:eastAsia="en-NZ"/>
              </w:rPr>
              <w:t>0%</w:t>
            </w:r>
          </w:p>
        </w:tc>
      </w:tr>
      <w:tr w:rsidR="00251B6D" w:rsidRPr="000A07D8" w14:paraId="794687A5" w14:textId="77777777" w:rsidTr="004801EE">
        <w:trPr>
          <w:trHeight w:val="375"/>
        </w:trPr>
        <w:tc>
          <w:tcPr>
            <w:tcW w:w="4204"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45E7B981" w14:textId="77777777" w:rsidR="00251B6D" w:rsidRPr="000A07D8" w:rsidRDefault="008D70F9" w:rsidP="00251B6D">
            <w:pPr>
              <w:spacing w:line="240" w:lineRule="auto"/>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Rural</w:t>
            </w:r>
          </w:p>
        </w:tc>
        <w:tc>
          <w:tcPr>
            <w:tcW w:w="2476" w:type="dxa"/>
            <w:tcBorders>
              <w:top w:val="single" w:sz="4" w:space="0" w:color="00B0F0"/>
              <w:left w:val="single" w:sz="4" w:space="0" w:color="00B0F0"/>
              <w:bottom w:val="single" w:sz="4" w:space="0" w:color="00B0F0"/>
              <w:right w:val="single" w:sz="4" w:space="0" w:color="00B0F0"/>
            </w:tcBorders>
          </w:tcPr>
          <w:p w14:paraId="65C46739" w14:textId="77777777" w:rsidR="00214B5B" w:rsidRDefault="00214B5B" w:rsidP="00251B6D">
            <w:pPr>
              <w:spacing w:line="240" w:lineRule="auto"/>
              <w:jc w:val="center"/>
              <w:rPr>
                <w:rFonts w:ascii="Calibri" w:eastAsia="Times New Roman" w:hAnsi="Calibri" w:cs="Calibri"/>
                <w:color w:val="000000"/>
                <w:sz w:val="22"/>
                <w:szCs w:val="22"/>
                <w:lang w:eastAsia="en-NZ"/>
              </w:rPr>
            </w:pPr>
          </w:p>
          <w:p w14:paraId="3AB8DBFC" w14:textId="77777777" w:rsidR="00251B6D" w:rsidRPr="000A07D8" w:rsidRDefault="00251B6D"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3</w:t>
            </w:r>
          </w:p>
        </w:tc>
        <w:tc>
          <w:tcPr>
            <w:tcW w:w="2476"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60DC2A10" w14:textId="77777777" w:rsidR="00251B6D" w:rsidRPr="000A07D8" w:rsidRDefault="008D70F9"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85%</w:t>
            </w:r>
          </w:p>
        </w:tc>
      </w:tr>
      <w:tr w:rsidR="008D70F9" w:rsidRPr="000A07D8" w14:paraId="17E82989" w14:textId="77777777" w:rsidTr="004801EE">
        <w:trPr>
          <w:trHeight w:val="375"/>
        </w:trPr>
        <w:tc>
          <w:tcPr>
            <w:tcW w:w="4204" w:type="dxa"/>
            <w:tcBorders>
              <w:top w:val="single" w:sz="4" w:space="0" w:color="00B0F0"/>
              <w:left w:val="single" w:sz="4" w:space="0" w:color="00B0F0"/>
              <w:bottom w:val="single" w:sz="4" w:space="0" w:color="00B0F0"/>
              <w:right w:val="single" w:sz="4" w:space="0" w:color="00B0F0"/>
            </w:tcBorders>
            <w:shd w:val="clear" w:color="auto" w:fill="auto"/>
            <w:noWrap/>
            <w:vAlign w:val="bottom"/>
          </w:tcPr>
          <w:p w14:paraId="21CEAAFF" w14:textId="77777777" w:rsidR="008D70F9" w:rsidRDefault="008D70F9" w:rsidP="00251B6D">
            <w:pPr>
              <w:spacing w:line="240" w:lineRule="auto"/>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Rural</w:t>
            </w:r>
            <w:r w:rsidR="000F7EEE">
              <w:rPr>
                <w:rFonts w:ascii="Calibri" w:eastAsia="Times New Roman" w:hAnsi="Calibri" w:cs="Calibri"/>
                <w:color w:val="000000"/>
                <w:sz w:val="22"/>
                <w:szCs w:val="22"/>
                <w:lang w:eastAsia="en-NZ"/>
              </w:rPr>
              <w:t xml:space="preserve"> Residential</w:t>
            </w:r>
          </w:p>
        </w:tc>
        <w:tc>
          <w:tcPr>
            <w:tcW w:w="2476" w:type="dxa"/>
            <w:tcBorders>
              <w:top w:val="single" w:sz="4" w:space="0" w:color="00B0F0"/>
              <w:left w:val="single" w:sz="4" w:space="0" w:color="00B0F0"/>
              <w:bottom w:val="single" w:sz="4" w:space="0" w:color="00B0F0"/>
              <w:right w:val="single" w:sz="4" w:space="0" w:color="00B0F0"/>
            </w:tcBorders>
          </w:tcPr>
          <w:p w14:paraId="1082BB67" w14:textId="77777777" w:rsidR="008D70F9" w:rsidRDefault="008D70F9" w:rsidP="00251B6D">
            <w:pPr>
              <w:spacing w:line="240" w:lineRule="auto"/>
              <w:jc w:val="center"/>
              <w:rPr>
                <w:rFonts w:ascii="Calibri" w:eastAsia="Times New Roman" w:hAnsi="Calibri" w:cs="Calibri"/>
                <w:color w:val="000000"/>
                <w:sz w:val="22"/>
                <w:szCs w:val="22"/>
                <w:lang w:eastAsia="en-NZ"/>
              </w:rPr>
            </w:pPr>
          </w:p>
          <w:p w14:paraId="025C0BD4" w14:textId="77777777" w:rsidR="008D70F9" w:rsidRDefault="008D70F9"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4</w:t>
            </w:r>
          </w:p>
        </w:tc>
        <w:tc>
          <w:tcPr>
            <w:tcW w:w="2476" w:type="dxa"/>
            <w:tcBorders>
              <w:top w:val="single" w:sz="4" w:space="0" w:color="00B0F0"/>
              <w:left w:val="single" w:sz="4" w:space="0" w:color="00B0F0"/>
              <w:bottom w:val="single" w:sz="4" w:space="0" w:color="00B0F0"/>
              <w:right w:val="single" w:sz="4" w:space="0" w:color="00B0F0"/>
            </w:tcBorders>
            <w:shd w:val="clear" w:color="auto" w:fill="auto"/>
            <w:noWrap/>
            <w:vAlign w:val="bottom"/>
          </w:tcPr>
          <w:p w14:paraId="203E7A57" w14:textId="77777777" w:rsidR="008D70F9" w:rsidRDefault="000F7EEE" w:rsidP="00251B6D">
            <w:pPr>
              <w:spacing w:line="240" w:lineRule="auto"/>
              <w:jc w:val="center"/>
              <w:rPr>
                <w:rFonts w:ascii="Calibri" w:eastAsia="Times New Roman" w:hAnsi="Calibri" w:cs="Calibri"/>
                <w:color w:val="000000"/>
                <w:sz w:val="22"/>
                <w:szCs w:val="22"/>
                <w:lang w:eastAsia="en-NZ"/>
              </w:rPr>
            </w:pPr>
            <w:r>
              <w:rPr>
                <w:rFonts w:ascii="Calibri" w:eastAsia="Times New Roman" w:hAnsi="Calibri" w:cs="Calibri"/>
                <w:color w:val="000000"/>
                <w:sz w:val="22"/>
                <w:szCs w:val="22"/>
                <w:lang w:eastAsia="en-NZ"/>
              </w:rPr>
              <w:t>90</w:t>
            </w:r>
            <w:r w:rsidR="008D70F9">
              <w:rPr>
                <w:rFonts w:ascii="Calibri" w:eastAsia="Times New Roman" w:hAnsi="Calibri" w:cs="Calibri"/>
                <w:color w:val="000000"/>
                <w:sz w:val="22"/>
                <w:szCs w:val="22"/>
                <w:lang w:eastAsia="en-NZ"/>
              </w:rPr>
              <w:t>%</w:t>
            </w:r>
          </w:p>
        </w:tc>
      </w:tr>
    </w:tbl>
    <w:p w14:paraId="408E33A7" w14:textId="77777777" w:rsidR="00251B6D" w:rsidRDefault="00251B6D" w:rsidP="000D2659"/>
    <w:p w14:paraId="2A606111" w14:textId="77777777" w:rsidR="00797E9A" w:rsidRDefault="00797E9A" w:rsidP="000D2659">
      <w:r w:rsidRPr="00C50DE2">
        <w:t xml:space="preserve">Due to significant increases being experienced for certain property types, </w:t>
      </w:r>
      <w:r w:rsidR="00D95B98" w:rsidRPr="00C50DE2">
        <w:t>General Rate differentials will be phased in over 3 years from the start of the 2021/22 ratings year. The calculation is based on the difference between the old differential (as defined in the 2020/21 Annual Plan) and the target differential, split into 3 equal stages. The schedule for phasing is as follows:</w:t>
      </w:r>
    </w:p>
    <w:p w14:paraId="4E788305" w14:textId="77777777" w:rsidR="00270D4B" w:rsidRDefault="00270D4B" w:rsidP="000D2659"/>
    <w:tbl>
      <w:tblPr>
        <w:tblW w:w="9864" w:type="dxa"/>
        <w:jc w:val="center"/>
        <w:tblLook w:val="04A0" w:firstRow="1" w:lastRow="0" w:firstColumn="1" w:lastColumn="0" w:noHBand="0" w:noVBand="1"/>
      </w:tblPr>
      <w:tblGrid>
        <w:gridCol w:w="1451"/>
        <w:gridCol w:w="661"/>
        <w:gridCol w:w="1218"/>
        <w:gridCol w:w="1519"/>
        <w:gridCol w:w="680"/>
        <w:gridCol w:w="1467"/>
        <w:gridCol w:w="956"/>
        <w:gridCol w:w="956"/>
        <w:gridCol w:w="956"/>
      </w:tblGrid>
      <w:tr w:rsidR="00970194" w:rsidRPr="00251B6D" w14:paraId="4E7B4A5C" w14:textId="77777777" w:rsidTr="00E71827">
        <w:trPr>
          <w:trHeight w:val="600"/>
          <w:jc w:val="center"/>
        </w:trPr>
        <w:tc>
          <w:tcPr>
            <w:tcW w:w="1451" w:type="dxa"/>
            <w:tcBorders>
              <w:top w:val="nil"/>
              <w:bottom w:val="single" w:sz="4" w:space="0" w:color="00B0F0"/>
              <w:right w:val="single" w:sz="4" w:space="0" w:color="FFFFFF" w:themeColor="background1"/>
            </w:tcBorders>
            <w:shd w:val="clear" w:color="auto" w:fill="00B0F0"/>
            <w:vAlign w:val="bottom"/>
            <w:hideMark/>
          </w:tcPr>
          <w:p w14:paraId="0047395A" w14:textId="77777777" w:rsidR="00270D4B" w:rsidRPr="00E71827" w:rsidRDefault="00270D4B" w:rsidP="00270D4B">
            <w:pPr>
              <w:spacing w:line="240" w:lineRule="auto"/>
              <w:jc w:val="left"/>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Old Differentials</w:t>
            </w:r>
          </w:p>
        </w:tc>
        <w:tc>
          <w:tcPr>
            <w:tcW w:w="661" w:type="dxa"/>
            <w:tcBorders>
              <w:top w:val="nil"/>
              <w:left w:val="single" w:sz="4" w:space="0" w:color="FFFFFF" w:themeColor="background1"/>
              <w:bottom w:val="single" w:sz="4" w:space="0" w:color="00B0F0"/>
              <w:right w:val="single" w:sz="4" w:space="0" w:color="FFFFFF" w:themeColor="background1"/>
            </w:tcBorders>
            <w:shd w:val="clear" w:color="auto" w:fill="00B0F0"/>
          </w:tcPr>
          <w:p w14:paraId="476FDFB3"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p>
          <w:p w14:paraId="29E5C41A"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Old Code</w:t>
            </w:r>
          </w:p>
        </w:tc>
        <w:tc>
          <w:tcPr>
            <w:tcW w:w="1218" w:type="dxa"/>
            <w:tcBorders>
              <w:top w:val="nil"/>
              <w:left w:val="single" w:sz="4" w:space="0" w:color="FFFFFF" w:themeColor="background1"/>
              <w:bottom w:val="single" w:sz="4" w:space="0" w:color="00B0F0"/>
              <w:right w:val="single" w:sz="4" w:space="0" w:color="FFFFFF" w:themeColor="background1"/>
            </w:tcBorders>
            <w:shd w:val="clear" w:color="auto" w:fill="00B0F0"/>
            <w:vAlign w:val="bottom"/>
          </w:tcPr>
          <w:p w14:paraId="6EA0D4C9"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Old Differential Rate</w:t>
            </w:r>
          </w:p>
        </w:tc>
        <w:tc>
          <w:tcPr>
            <w:tcW w:w="1519" w:type="dxa"/>
            <w:tcBorders>
              <w:top w:val="nil"/>
              <w:left w:val="single" w:sz="4" w:space="0" w:color="FFFFFF" w:themeColor="background1"/>
              <w:bottom w:val="single" w:sz="4" w:space="0" w:color="00B0F0"/>
              <w:right w:val="single" w:sz="4" w:space="0" w:color="FFFFFF" w:themeColor="background1"/>
            </w:tcBorders>
            <w:shd w:val="clear" w:color="auto" w:fill="00B0F0"/>
          </w:tcPr>
          <w:p w14:paraId="2B101DD4"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New Differential Rate</w:t>
            </w:r>
          </w:p>
        </w:tc>
        <w:tc>
          <w:tcPr>
            <w:tcW w:w="680" w:type="dxa"/>
            <w:tcBorders>
              <w:top w:val="nil"/>
              <w:left w:val="single" w:sz="4" w:space="0" w:color="FFFFFF" w:themeColor="background1"/>
              <w:bottom w:val="single" w:sz="4" w:space="0" w:color="00B0F0"/>
              <w:right w:val="single" w:sz="4" w:space="0" w:color="FFFFFF" w:themeColor="background1"/>
            </w:tcBorders>
            <w:shd w:val="clear" w:color="auto" w:fill="00B0F0"/>
          </w:tcPr>
          <w:p w14:paraId="24551CC4"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New Code</w:t>
            </w:r>
          </w:p>
        </w:tc>
        <w:tc>
          <w:tcPr>
            <w:tcW w:w="1467" w:type="dxa"/>
            <w:tcBorders>
              <w:top w:val="nil"/>
              <w:left w:val="single" w:sz="4" w:space="0" w:color="FFFFFF" w:themeColor="background1"/>
              <w:bottom w:val="single" w:sz="4" w:space="0" w:color="00B0F0"/>
            </w:tcBorders>
            <w:shd w:val="clear" w:color="auto" w:fill="00B0F0"/>
            <w:noWrap/>
            <w:vAlign w:val="bottom"/>
            <w:hideMark/>
          </w:tcPr>
          <w:p w14:paraId="703D615E"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Differential Rate</w:t>
            </w:r>
          </w:p>
        </w:tc>
        <w:tc>
          <w:tcPr>
            <w:tcW w:w="956" w:type="dxa"/>
            <w:tcBorders>
              <w:top w:val="nil"/>
              <w:left w:val="single" w:sz="4" w:space="0" w:color="FFFFFF" w:themeColor="background1"/>
              <w:bottom w:val="single" w:sz="4" w:space="0" w:color="00B0F0"/>
              <w:right w:val="single" w:sz="4" w:space="0" w:color="FFFFFF" w:themeColor="background1"/>
            </w:tcBorders>
            <w:shd w:val="clear" w:color="auto" w:fill="00B0F0"/>
          </w:tcPr>
          <w:p w14:paraId="7DCD4F00"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2021/22</w:t>
            </w:r>
          </w:p>
        </w:tc>
        <w:tc>
          <w:tcPr>
            <w:tcW w:w="956" w:type="dxa"/>
            <w:tcBorders>
              <w:top w:val="nil"/>
              <w:left w:val="single" w:sz="4" w:space="0" w:color="FFFFFF" w:themeColor="background1"/>
              <w:bottom w:val="single" w:sz="4" w:space="0" w:color="00B0F0"/>
              <w:right w:val="single" w:sz="4" w:space="0" w:color="FFFFFF" w:themeColor="background1"/>
            </w:tcBorders>
            <w:shd w:val="clear" w:color="auto" w:fill="00B0F0"/>
          </w:tcPr>
          <w:p w14:paraId="485CBCF1"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2022/23</w:t>
            </w:r>
          </w:p>
        </w:tc>
        <w:tc>
          <w:tcPr>
            <w:tcW w:w="956" w:type="dxa"/>
            <w:tcBorders>
              <w:top w:val="nil"/>
              <w:left w:val="single" w:sz="4" w:space="0" w:color="FFFFFF" w:themeColor="background1"/>
              <w:bottom w:val="single" w:sz="4" w:space="0" w:color="00B0F0"/>
            </w:tcBorders>
            <w:shd w:val="clear" w:color="auto" w:fill="00B0F0"/>
          </w:tcPr>
          <w:p w14:paraId="28C952D4" w14:textId="77777777" w:rsidR="00270D4B" w:rsidRPr="00E71827" w:rsidRDefault="00270D4B" w:rsidP="00270D4B">
            <w:pPr>
              <w:spacing w:line="240" w:lineRule="auto"/>
              <w:jc w:val="center"/>
              <w:rPr>
                <w:rFonts w:ascii="Calibri" w:eastAsia="Times New Roman" w:hAnsi="Calibri" w:cs="Calibri"/>
                <w:b/>
                <w:color w:val="FFFFFF" w:themeColor="background1"/>
                <w:sz w:val="18"/>
                <w:szCs w:val="18"/>
                <w:lang w:eastAsia="en-NZ"/>
              </w:rPr>
            </w:pPr>
            <w:r w:rsidRPr="00E71827">
              <w:rPr>
                <w:rFonts w:ascii="Calibri" w:eastAsia="Times New Roman" w:hAnsi="Calibri" w:cs="Calibri"/>
                <w:b/>
                <w:color w:val="FFFFFF" w:themeColor="background1"/>
                <w:sz w:val="18"/>
                <w:szCs w:val="18"/>
                <w:lang w:eastAsia="en-NZ"/>
              </w:rPr>
              <w:t>2023/24</w:t>
            </w:r>
          </w:p>
        </w:tc>
      </w:tr>
      <w:tr w:rsidR="00970194" w:rsidRPr="000A07D8" w14:paraId="32946FE6" w14:textId="77777777" w:rsidTr="00E71827">
        <w:trPr>
          <w:trHeight w:val="179"/>
          <w:jc w:val="center"/>
        </w:trPr>
        <w:tc>
          <w:tcPr>
            <w:tcW w:w="1451"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6AE07FDD"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City Residential</w:t>
            </w:r>
          </w:p>
        </w:tc>
        <w:tc>
          <w:tcPr>
            <w:tcW w:w="661" w:type="dxa"/>
            <w:tcBorders>
              <w:top w:val="single" w:sz="4" w:space="0" w:color="00B0F0"/>
              <w:left w:val="single" w:sz="4" w:space="0" w:color="00B0F0"/>
              <w:bottom w:val="single" w:sz="4" w:space="0" w:color="00B0F0"/>
              <w:right w:val="single" w:sz="4" w:space="0" w:color="00B0F0"/>
            </w:tcBorders>
          </w:tcPr>
          <w:p w14:paraId="41963653"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w:t>
            </w:r>
          </w:p>
        </w:tc>
        <w:tc>
          <w:tcPr>
            <w:tcW w:w="1218" w:type="dxa"/>
            <w:tcBorders>
              <w:top w:val="single" w:sz="4" w:space="0" w:color="00B0F0"/>
              <w:left w:val="single" w:sz="4" w:space="0" w:color="00B0F0"/>
              <w:bottom w:val="single" w:sz="4" w:space="0" w:color="00B0F0"/>
              <w:right w:val="single" w:sz="4" w:space="0" w:color="00B0F0"/>
            </w:tcBorders>
            <w:vAlign w:val="bottom"/>
          </w:tcPr>
          <w:p w14:paraId="3AAEDD81"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1519" w:type="dxa"/>
            <w:tcBorders>
              <w:top w:val="single" w:sz="4" w:space="0" w:color="00B0F0"/>
              <w:left w:val="single" w:sz="4" w:space="0" w:color="00B0F0"/>
              <w:bottom w:val="single" w:sz="4" w:space="0" w:color="00B0F0"/>
              <w:right w:val="single" w:sz="4" w:space="0" w:color="00B0F0"/>
            </w:tcBorders>
          </w:tcPr>
          <w:p w14:paraId="61745F0D"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Residential/Other</w:t>
            </w:r>
          </w:p>
        </w:tc>
        <w:tc>
          <w:tcPr>
            <w:tcW w:w="680" w:type="dxa"/>
            <w:tcBorders>
              <w:top w:val="single" w:sz="4" w:space="0" w:color="00B0F0"/>
              <w:left w:val="single" w:sz="4" w:space="0" w:color="00B0F0"/>
              <w:bottom w:val="single" w:sz="4" w:space="0" w:color="00B0F0"/>
              <w:right w:val="single" w:sz="4" w:space="0" w:color="00B0F0"/>
            </w:tcBorders>
          </w:tcPr>
          <w:p w14:paraId="486F509C"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w:t>
            </w:r>
          </w:p>
        </w:tc>
        <w:tc>
          <w:tcPr>
            <w:tcW w:w="1467"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7174572C"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00B0F0"/>
              <w:right w:val="single" w:sz="4" w:space="0" w:color="00B0F0"/>
            </w:tcBorders>
          </w:tcPr>
          <w:p w14:paraId="17411F69"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00B0F0"/>
              <w:right w:val="single" w:sz="4" w:space="0" w:color="00B0F0"/>
            </w:tcBorders>
          </w:tcPr>
          <w:p w14:paraId="385EAC54"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00B0F0"/>
              <w:right w:val="single" w:sz="4" w:space="0" w:color="00B0F0"/>
            </w:tcBorders>
          </w:tcPr>
          <w:p w14:paraId="2305DA4D"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r>
      <w:tr w:rsidR="00970194" w:rsidRPr="000A07D8" w14:paraId="4DCB400A" w14:textId="77777777" w:rsidTr="00E71827">
        <w:trPr>
          <w:trHeight w:val="381"/>
          <w:jc w:val="center"/>
        </w:trPr>
        <w:tc>
          <w:tcPr>
            <w:tcW w:w="1451"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03959FAD"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Commercial &amp; Industrial</w:t>
            </w:r>
          </w:p>
        </w:tc>
        <w:tc>
          <w:tcPr>
            <w:tcW w:w="661" w:type="dxa"/>
            <w:tcBorders>
              <w:top w:val="single" w:sz="4" w:space="0" w:color="00B0F0"/>
              <w:left w:val="single" w:sz="4" w:space="0" w:color="00B0F0"/>
              <w:bottom w:val="single" w:sz="4" w:space="0" w:color="00B0F0"/>
              <w:right w:val="single" w:sz="4" w:space="0" w:color="00B0F0"/>
            </w:tcBorders>
          </w:tcPr>
          <w:p w14:paraId="1E1B7083"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w:t>
            </w:r>
          </w:p>
        </w:tc>
        <w:tc>
          <w:tcPr>
            <w:tcW w:w="1218" w:type="dxa"/>
            <w:tcBorders>
              <w:top w:val="single" w:sz="4" w:space="0" w:color="00B0F0"/>
              <w:left w:val="single" w:sz="4" w:space="0" w:color="00B0F0"/>
              <w:bottom w:val="single" w:sz="4" w:space="0" w:color="00B0F0"/>
              <w:right w:val="single" w:sz="4" w:space="0" w:color="00B0F0"/>
            </w:tcBorders>
            <w:vAlign w:val="bottom"/>
          </w:tcPr>
          <w:p w14:paraId="1DB82211"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268.09%</w:t>
            </w:r>
          </w:p>
        </w:tc>
        <w:tc>
          <w:tcPr>
            <w:tcW w:w="1519" w:type="dxa"/>
            <w:tcBorders>
              <w:top w:val="single" w:sz="4" w:space="0" w:color="00B0F0"/>
              <w:left w:val="single" w:sz="4" w:space="0" w:color="00B0F0"/>
              <w:bottom w:val="single" w:sz="4" w:space="0" w:color="00B0F0"/>
              <w:right w:val="single" w:sz="4" w:space="0" w:color="00B0F0"/>
            </w:tcBorders>
          </w:tcPr>
          <w:p w14:paraId="3BFF9CCD"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Commercial &amp; Industrial</w:t>
            </w:r>
          </w:p>
        </w:tc>
        <w:tc>
          <w:tcPr>
            <w:tcW w:w="680" w:type="dxa"/>
            <w:tcBorders>
              <w:top w:val="single" w:sz="4" w:space="0" w:color="00B0F0"/>
              <w:left w:val="single" w:sz="4" w:space="0" w:color="00B0F0"/>
              <w:bottom w:val="single" w:sz="4" w:space="0" w:color="00B0F0"/>
              <w:right w:val="single" w:sz="4" w:space="0" w:color="00B0F0"/>
            </w:tcBorders>
          </w:tcPr>
          <w:p w14:paraId="582F27E8"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w:t>
            </w:r>
          </w:p>
        </w:tc>
        <w:tc>
          <w:tcPr>
            <w:tcW w:w="1467"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241ADB68" w14:textId="77777777" w:rsidR="00270D4B" w:rsidRPr="00E71827" w:rsidRDefault="00270D4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w:t>
            </w:r>
            <w:r w:rsidR="00970194" w:rsidRPr="00E71827">
              <w:rPr>
                <w:rFonts w:ascii="Calibri" w:eastAsia="Times New Roman" w:hAnsi="Calibri" w:cs="Calibri"/>
                <w:color w:val="000000"/>
                <w:sz w:val="18"/>
                <w:szCs w:val="18"/>
                <w:lang w:eastAsia="en-NZ"/>
              </w:rPr>
              <w:t>.00</w:t>
            </w:r>
            <w:r w:rsidRPr="00E71827">
              <w:rPr>
                <w:rFonts w:ascii="Calibri" w:eastAsia="Times New Roman" w:hAnsi="Calibri" w:cs="Calibri"/>
                <w:color w:val="000000"/>
                <w:sz w:val="18"/>
                <w:szCs w:val="18"/>
                <w:lang w:eastAsia="en-NZ"/>
              </w:rPr>
              <w:t>%</w:t>
            </w:r>
          </w:p>
        </w:tc>
        <w:tc>
          <w:tcPr>
            <w:tcW w:w="956" w:type="dxa"/>
            <w:tcBorders>
              <w:top w:val="single" w:sz="4" w:space="0" w:color="00B0F0"/>
              <w:left w:val="single" w:sz="4" w:space="0" w:color="00B0F0"/>
              <w:bottom w:val="single" w:sz="4" w:space="0" w:color="00B0F0"/>
              <w:right w:val="single" w:sz="4" w:space="0" w:color="00B0F0"/>
            </w:tcBorders>
            <w:vAlign w:val="bottom"/>
          </w:tcPr>
          <w:p w14:paraId="355FDC61" w14:textId="77777777" w:rsidR="00270D4B" w:rsidRPr="00E71827" w:rsidRDefault="00270D4B" w:rsidP="00E71827">
            <w:pPr>
              <w:spacing w:after="0" w:line="240" w:lineRule="auto"/>
              <w:jc w:val="center"/>
              <w:rPr>
                <w:rFonts w:ascii="Calibri" w:hAnsi="Calibri" w:cs="Calibri"/>
                <w:color w:val="000000"/>
                <w:sz w:val="18"/>
                <w:szCs w:val="18"/>
                <w:lang w:eastAsia="en-NZ"/>
              </w:rPr>
            </w:pPr>
            <w:r w:rsidRPr="00E71827">
              <w:rPr>
                <w:rFonts w:ascii="Calibri" w:hAnsi="Calibri" w:cs="Calibri"/>
                <w:color w:val="000000"/>
                <w:sz w:val="18"/>
                <w:szCs w:val="18"/>
              </w:rPr>
              <w:t>265.39%</w:t>
            </w:r>
          </w:p>
        </w:tc>
        <w:tc>
          <w:tcPr>
            <w:tcW w:w="956" w:type="dxa"/>
            <w:tcBorders>
              <w:top w:val="single" w:sz="4" w:space="0" w:color="00B0F0"/>
              <w:left w:val="single" w:sz="4" w:space="0" w:color="00B0F0"/>
              <w:bottom w:val="single" w:sz="4" w:space="0" w:color="00B0F0"/>
              <w:right w:val="single" w:sz="4" w:space="0" w:color="00B0F0"/>
            </w:tcBorders>
            <w:vAlign w:val="bottom"/>
          </w:tcPr>
          <w:p w14:paraId="39964689" w14:textId="77777777" w:rsidR="00270D4B" w:rsidRPr="00E71827" w:rsidRDefault="00270D4B"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262.70%</w:t>
            </w:r>
          </w:p>
        </w:tc>
        <w:tc>
          <w:tcPr>
            <w:tcW w:w="956" w:type="dxa"/>
            <w:tcBorders>
              <w:top w:val="single" w:sz="4" w:space="0" w:color="00B0F0"/>
              <w:left w:val="single" w:sz="4" w:space="0" w:color="00B0F0"/>
              <w:bottom w:val="single" w:sz="4" w:space="0" w:color="00B0F0"/>
              <w:right w:val="single" w:sz="4" w:space="0" w:color="00B0F0"/>
            </w:tcBorders>
            <w:vAlign w:val="bottom"/>
          </w:tcPr>
          <w:p w14:paraId="551CD2AE" w14:textId="77777777" w:rsidR="00270D4B" w:rsidRPr="00E71827" w:rsidRDefault="00270D4B"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260.00%</w:t>
            </w:r>
          </w:p>
        </w:tc>
      </w:tr>
      <w:tr w:rsidR="00970194" w:rsidRPr="000A07D8" w14:paraId="0507EF0F" w14:textId="77777777" w:rsidTr="0072600E">
        <w:trPr>
          <w:trHeight w:val="203"/>
          <w:jc w:val="center"/>
        </w:trPr>
        <w:tc>
          <w:tcPr>
            <w:tcW w:w="1451" w:type="dxa"/>
            <w:tcBorders>
              <w:top w:val="single" w:sz="4" w:space="0" w:color="00B0F0"/>
              <w:left w:val="single" w:sz="4" w:space="0" w:color="00B0F0"/>
              <w:right w:val="single" w:sz="4" w:space="0" w:color="00B0F0"/>
            </w:tcBorders>
            <w:shd w:val="clear" w:color="auto" w:fill="auto"/>
            <w:noWrap/>
            <w:vAlign w:val="bottom"/>
            <w:hideMark/>
          </w:tcPr>
          <w:p w14:paraId="0964AFE1"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Miscellaneous</w:t>
            </w:r>
          </w:p>
        </w:tc>
        <w:tc>
          <w:tcPr>
            <w:tcW w:w="661" w:type="dxa"/>
            <w:tcBorders>
              <w:top w:val="single" w:sz="4" w:space="0" w:color="00B0F0"/>
              <w:left w:val="single" w:sz="4" w:space="0" w:color="00B0F0"/>
              <w:right w:val="single" w:sz="4" w:space="0" w:color="00B0F0"/>
            </w:tcBorders>
          </w:tcPr>
          <w:p w14:paraId="76BC01F5"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218" w:type="dxa"/>
            <w:tcBorders>
              <w:top w:val="single" w:sz="4" w:space="0" w:color="00B0F0"/>
              <w:left w:val="single" w:sz="4" w:space="0" w:color="00B0F0"/>
              <w:right w:val="single" w:sz="4" w:space="0" w:color="00B0F0"/>
            </w:tcBorders>
            <w:vAlign w:val="bottom"/>
          </w:tcPr>
          <w:p w14:paraId="25A40F30"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1519" w:type="dxa"/>
            <w:tcBorders>
              <w:top w:val="single" w:sz="4" w:space="0" w:color="00B0F0"/>
              <w:left w:val="single" w:sz="4" w:space="0" w:color="00B0F0"/>
              <w:right w:val="single" w:sz="4" w:space="0" w:color="00B0F0"/>
            </w:tcBorders>
          </w:tcPr>
          <w:p w14:paraId="21E76F98"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Residential/Other</w:t>
            </w:r>
          </w:p>
        </w:tc>
        <w:tc>
          <w:tcPr>
            <w:tcW w:w="680" w:type="dxa"/>
            <w:tcBorders>
              <w:top w:val="single" w:sz="4" w:space="0" w:color="00B0F0"/>
              <w:left w:val="single" w:sz="4" w:space="0" w:color="00B0F0"/>
              <w:right w:val="single" w:sz="4" w:space="0" w:color="00B0F0"/>
            </w:tcBorders>
          </w:tcPr>
          <w:p w14:paraId="46B0D4D0"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w:t>
            </w:r>
          </w:p>
        </w:tc>
        <w:tc>
          <w:tcPr>
            <w:tcW w:w="1467" w:type="dxa"/>
            <w:tcBorders>
              <w:top w:val="single" w:sz="4" w:space="0" w:color="00B0F0"/>
              <w:left w:val="single" w:sz="4" w:space="0" w:color="00B0F0"/>
              <w:right w:val="single" w:sz="4" w:space="0" w:color="00B0F0"/>
            </w:tcBorders>
            <w:shd w:val="clear" w:color="auto" w:fill="auto"/>
            <w:noWrap/>
            <w:vAlign w:val="bottom"/>
            <w:hideMark/>
          </w:tcPr>
          <w:p w14:paraId="08E10B0E"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right w:val="single" w:sz="4" w:space="0" w:color="00B0F0"/>
            </w:tcBorders>
          </w:tcPr>
          <w:p w14:paraId="3C71C33F"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right w:val="single" w:sz="4" w:space="0" w:color="00B0F0"/>
            </w:tcBorders>
          </w:tcPr>
          <w:p w14:paraId="735C1356" w14:textId="77777777" w:rsidR="00970194" w:rsidRPr="00E71827" w:rsidRDefault="00970194"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100.00%</w:t>
            </w:r>
          </w:p>
        </w:tc>
        <w:tc>
          <w:tcPr>
            <w:tcW w:w="956" w:type="dxa"/>
            <w:tcBorders>
              <w:top w:val="single" w:sz="4" w:space="0" w:color="00B0F0"/>
              <w:left w:val="single" w:sz="4" w:space="0" w:color="00B0F0"/>
              <w:right w:val="single" w:sz="4" w:space="0" w:color="00B0F0"/>
            </w:tcBorders>
          </w:tcPr>
          <w:p w14:paraId="2E5EC713" w14:textId="77777777" w:rsidR="00970194" w:rsidRPr="00E71827" w:rsidRDefault="00970194"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100.00%</w:t>
            </w:r>
          </w:p>
        </w:tc>
      </w:tr>
      <w:tr w:rsidR="0072600E" w:rsidRPr="000A07D8" w14:paraId="5E4102B0" w14:textId="77777777" w:rsidTr="0072600E">
        <w:trPr>
          <w:trHeight w:val="375"/>
          <w:jc w:val="center"/>
        </w:trPr>
        <w:tc>
          <w:tcPr>
            <w:tcW w:w="1451" w:type="dxa"/>
            <w:tcBorders>
              <w:left w:val="single" w:sz="4" w:space="0" w:color="00B0F0"/>
              <w:bottom w:val="single" w:sz="4" w:space="0" w:color="F2F2F2" w:themeColor="accent6" w:themeTint="33"/>
              <w:right w:val="single" w:sz="4" w:space="0" w:color="00B0F0"/>
            </w:tcBorders>
            <w:shd w:val="clear" w:color="auto" w:fill="auto"/>
            <w:noWrap/>
          </w:tcPr>
          <w:p w14:paraId="1C6ACD0C" w14:textId="77777777" w:rsidR="00E71827" w:rsidRDefault="00E71827" w:rsidP="00E71827">
            <w:pPr>
              <w:spacing w:after="0"/>
              <w:jc w:val="center"/>
              <w:rPr>
                <w:rFonts w:ascii="Calibri" w:eastAsia="Times New Roman" w:hAnsi="Calibri" w:cs="Calibri"/>
                <w:color w:val="000000"/>
                <w:sz w:val="18"/>
                <w:szCs w:val="18"/>
                <w:lang w:eastAsia="en-NZ"/>
              </w:rPr>
            </w:pPr>
          </w:p>
          <w:p w14:paraId="4848FA7C" w14:textId="77777777" w:rsidR="00970194" w:rsidRPr="00E71827" w:rsidRDefault="00970194" w:rsidP="00E71827">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Miscellaneous</w:t>
            </w:r>
          </w:p>
        </w:tc>
        <w:tc>
          <w:tcPr>
            <w:tcW w:w="661" w:type="dxa"/>
            <w:tcBorders>
              <w:left w:val="single" w:sz="4" w:space="0" w:color="00B0F0"/>
              <w:bottom w:val="single" w:sz="4" w:space="0" w:color="F2F2F2" w:themeColor="accent6" w:themeTint="33"/>
              <w:right w:val="single" w:sz="4" w:space="0" w:color="00B0F0"/>
            </w:tcBorders>
          </w:tcPr>
          <w:p w14:paraId="32BE3892" w14:textId="77777777" w:rsidR="00E71827" w:rsidRDefault="00E71827" w:rsidP="00E71827">
            <w:pPr>
              <w:spacing w:after="0" w:line="240" w:lineRule="auto"/>
              <w:jc w:val="center"/>
              <w:rPr>
                <w:rFonts w:ascii="Calibri" w:eastAsia="Times New Roman" w:hAnsi="Calibri" w:cs="Calibri"/>
                <w:color w:val="000000"/>
                <w:sz w:val="18"/>
                <w:szCs w:val="18"/>
                <w:lang w:eastAsia="en-NZ"/>
              </w:rPr>
            </w:pPr>
          </w:p>
          <w:p w14:paraId="468D047E"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218" w:type="dxa"/>
            <w:tcBorders>
              <w:left w:val="single" w:sz="4" w:space="0" w:color="00B0F0"/>
              <w:bottom w:val="single" w:sz="4" w:space="0" w:color="F2F2F2" w:themeColor="accent6" w:themeTint="33"/>
              <w:right w:val="single" w:sz="4" w:space="0" w:color="00B0F0"/>
            </w:tcBorders>
            <w:vAlign w:val="bottom"/>
          </w:tcPr>
          <w:p w14:paraId="2AF22C3E"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1519" w:type="dxa"/>
            <w:tcBorders>
              <w:left w:val="single" w:sz="4" w:space="0" w:color="00B0F0"/>
              <w:bottom w:val="single" w:sz="4" w:space="0" w:color="F2F2F2" w:themeColor="accent6" w:themeTint="33"/>
              <w:right w:val="single" w:sz="4" w:space="0" w:color="00B0F0"/>
            </w:tcBorders>
          </w:tcPr>
          <w:p w14:paraId="27981187"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Commercial &amp; Industrial</w:t>
            </w:r>
          </w:p>
        </w:tc>
        <w:tc>
          <w:tcPr>
            <w:tcW w:w="680" w:type="dxa"/>
            <w:tcBorders>
              <w:left w:val="single" w:sz="4" w:space="0" w:color="00B0F0"/>
              <w:bottom w:val="single" w:sz="4" w:space="0" w:color="F2F2F2" w:themeColor="accent6" w:themeTint="33"/>
              <w:right w:val="single" w:sz="4" w:space="0" w:color="00B0F0"/>
            </w:tcBorders>
          </w:tcPr>
          <w:p w14:paraId="0FE53B11"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w:t>
            </w:r>
          </w:p>
        </w:tc>
        <w:tc>
          <w:tcPr>
            <w:tcW w:w="1467" w:type="dxa"/>
            <w:tcBorders>
              <w:left w:val="single" w:sz="4" w:space="0" w:color="00B0F0"/>
              <w:bottom w:val="single" w:sz="4" w:space="0" w:color="F2F2F2" w:themeColor="accent6" w:themeTint="33"/>
              <w:right w:val="single" w:sz="4" w:space="0" w:color="00B0F0"/>
            </w:tcBorders>
            <w:shd w:val="clear" w:color="auto" w:fill="auto"/>
            <w:noWrap/>
            <w:vAlign w:val="bottom"/>
          </w:tcPr>
          <w:p w14:paraId="6817B88A"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260.00%</w:t>
            </w:r>
          </w:p>
        </w:tc>
        <w:tc>
          <w:tcPr>
            <w:tcW w:w="956" w:type="dxa"/>
            <w:tcBorders>
              <w:left w:val="single" w:sz="4" w:space="0" w:color="00B0F0"/>
              <w:bottom w:val="single" w:sz="4" w:space="0" w:color="F2F2F2" w:themeColor="accent6" w:themeTint="33"/>
              <w:right w:val="single" w:sz="4" w:space="0" w:color="00B0F0"/>
            </w:tcBorders>
            <w:vAlign w:val="bottom"/>
          </w:tcPr>
          <w:p w14:paraId="710F7D44" w14:textId="77777777" w:rsidR="00970194" w:rsidRPr="00E71827" w:rsidRDefault="00970194" w:rsidP="00E71827">
            <w:pPr>
              <w:spacing w:after="0" w:line="240" w:lineRule="auto"/>
              <w:jc w:val="center"/>
              <w:rPr>
                <w:rFonts w:ascii="Calibri" w:hAnsi="Calibri" w:cs="Calibri"/>
                <w:color w:val="000000"/>
                <w:sz w:val="18"/>
                <w:szCs w:val="18"/>
                <w:lang w:eastAsia="en-NZ"/>
              </w:rPr>
            </w:pPr>
            <w:r w:rsidRPr="00E71827">
              <w:rPr>
                <w:rFonts w:ascii="Calibri" w:hAnsi="Calibri" w:cs="Calibri"/>
                <w:color w:val="000000"/>
                <w:sz w:val="18"/>
                <w:szCs w:val="18"/>
              </w:rPr>
              <w:t>153.33%</w:t>
            </w:r>
          </w:p>
        </w:tc>
        <w:tc>
          <w:tcPr>
            <w:tcW w:w="956" w:type="dxa"/>
            <w:tcBorders>
              <w:left w:val="single" w:sz="4" w:space="0" w:color="00B0F0"/>
              <w:bottom w:val="single" w:sz="4" w:space="0" w:color="F2F2F2" w:themeColor="accent6" w:themeTint="33"/>
              <w:right w:val="single" w:sz="4" w:space="0" w:color="00B0F0"/>
            </w:tcBorders>
            <w:vAlign w:val="bottom"/>
          </w:tcPr>
          <w:p w14:paraId="7A45928F" w14:textId="77777777" w:rsidR="00970194" w:rsidRPr="00E71827" w:rsidRDefault="00970194"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206.67%</w:t>
            </w:r>
          </w:p>
        </w:tc>
        <w:tc>
          <w:tcPr>
            <w:tcW w:w="956" w:type="dxa"/>
            <w:tcBorders>
              <w:left w:val="single" w:sz="4" w:space="0" w:color="00B0F0"/>
              <w:bottom w:val="single" w:sz="4" w:space="0" w:color="F2F2F2" w:themeColor="accent6" w:themeTint="33"/>
              <w:right w:val="single" w:sz="4" w:space="0" w:color="00B0F0"/>
            </w:tcBorders>
            <w:vAlign w:val="bottom"/>
          </w:tcPr>
          <w:p w14:paraId="5A1477B3" w14:textId="77777777" w:rsidR="00970194" w:rsidRPr="00E71827" w:rsidRDefault="00970194" w:rsidP="00E71827">
            <w:pPr>
              <w:spacing w:after="0" w:line="240" w:lineRule="auto"/>
              <w:jc w:val="center"/>
              <w:rPr>
                <w:rFonts w:ascii="Calibri" w:hAnsi="Calibri" w:cs="Calibri"/>
                <w:color w:val="000000"/>
                <w:sz w:val="18"/>
                <w:szCs w:val="18"/>
              </w:rPr>
            </w:pPr>
            <w:r w:rsidRPr="00E71827">
              <w:rPr>
                <w:rFonts w:ascii="Calibri" w:hAnsi="Calibri" w:cs="Calibri"/>
                <w:color w:val="000000"/>
                <w:sz w:val="18"/>
                <w:szCs w:val="18"/>
              </w:rPr>
              <w:t>260.00</w:t>
            </w:r>
            <w:r w:rsidR="006B0B2B" w:rsidRPr="00E71827">
              <w:rPr>
                <w:rFonts w:ascii="Calibri" w:hAnsi="Calibri" w:cs="Calibri"/>
                <w:color w:val="000000"/>
                <w:sz w:val="18"/>
                <w:szCs w:val="18"/>
              </w:rPr>
              <w:t>%</w:t>
            </w:r>
          </w:p>
        </w:tc>
      </w:tr>
      <w:tr w:rsidR="00970194" w:rsidRPr="000A07D8" w14:paraId="1236DA80" w14:textId="77777777" w:rsidTr="0072600E">
        <w:trPr>
          <w:trHeight w:val="185"/>
          <w:jc w:val="center"/>
        </w:trPr>
        <w:tc>
          <w:tcPr>
            <w:tcW w:w="1451" w:type="dxa"/>
            <w:tcBorders>
              <w:top w:val="single" w:sz="4" w:space="0" w:color="F2F2F2" w:themeColor="accent6" w:themeTint="33"/>
              <w:left w:val="single" w:sz="4" w:space="0" w:color="00B0F0"/>
              <w:right w:val="single" w:sz="4" w:space="0" w:color="00B0F0"/>
            </w:tcBorders>
            <w:shd w:val="clear" w:color="auto" w:fill="auto"/>
            <w:noWrap/>
          </w:tcPr>
          <w:p w14:paraId="7F111305" w14:textId="77777777" w:rsidR="00970194" w:rsidRPr="00E71827" w:rsidRDefault="00970194" w:rsidP="00E71827">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Miscellaneous</w:t>
            </w:r>
          </w:p>
        </w:tc>
        <w:tc>
          <w:tcPr>
            <w:tcW w:w="661" w:type="dxa"/>
            <w:tcBorders>
              <w:top w:val="single" w:sz="4" w:space="0" w:color="F2F2F2" w:themeColor="accent6" w:themeTint="33"/>
              <w:left w:val="single" w:sz="4" w:space="0" w:color="00B0F0"/>
              <w:right w:val="single" w:sz="4" w:space="0" w:color="00B0F0"/>
            </w:tcBorders>
          </w:tcPr>
          <w:p w14:paraId="4D139509"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218" w:type="dxa"/>
            <w:tcBorders>
              <w:top w:val="single" w:sz="4" w:space="0" w:color="F2F2F2" w:themeColor="accent6" w:themeTint="33"/>
              <w:left w:val="single" w:sz="4" w:space="0" w:color="00B0F0"/>
              <w:right w:val="single" w:sz="4" w:space="0" w:color="00B0F0"/>
            </w:tcBorders>
            <w:vAlign w:val="bottom"/>
          </w:tcPr>
          <w:p w14:paraId="03495B9B" w14:textId="77777777" w:rsidR="00970194" w:rsidRPr="00E71827" w:rsidRDefault="00970194"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1519" w:type="dxa"/>
            <w:tcBorders>
              <w:top w:val="single" w:sz="4" w:space="0" w:color="F2F2F2" w:themeColor="accent6" w:themeTint="33"/>
              <w:left w:val="single" w:sz="4" w:space="0" w:color="00B0F0"/>
              <w:right w:val="single" w:sz="4" w:space="0" w:color="00B0F0"/>
            </w:tcBorders>
          </w:tcPr>
          <w:p w14:paraId="304BFAEA"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w:t>
            </w:r>
          </w:p>
        </w:tc>
        <w:tc>
          <w:tcPr>
            <w:tcW w:w="680" w:type="dxa"/>
            <w:tcBorders>
              <w:top w:val="single" w:sz="4" w:space="0" w:color="F2F2F2" w:themeColor="accent6" w:themeTint="33"/>
              <w:left w:val="single" w:sz="4" w:space="0" w:color="00B0F0"/>
              <w:right w:val="single" w:sz="4" w:space="0" w:color="00B0F0"/>
            </w:tcBorders>
          </w:tcPr>
          <w:p w14:paraId="6DE59FED"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467" w:type="dxa"/>
            <w:tcBorders>
              <w:top w:val="single" w:sz="4" w:space="0" w:color="F2F2F2" w:themeColor="accent6" w:themeTint="33"/>
              <w:left w:val="single" w:sz="4" w:space="0" w:color="00B0F0"/>
              <w:right w:val="single" w:sz="4" w:space="0" w:color="00B0F0"/>
            </w:tcBorders>
            <w:shd w:val="clear" w:color="auto" w:fill="auto"/>
            <w:noWrap/>
            <w:vAlign w:val="bottom"/>
          </w:tcPr>
          <w:p w14:paraId="1D352B6E"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c>
          <w:tcPr>
            <w:tcW w:w="956" w:type="dxa"/>
            <w:tcBorders>
              <w:top w:val="single" w:sz="4" w:space="0" w:color="F2F2F2" w:themeColor="accent6" w:themeTint="33"/>
              <w:left w:val="single" w:sz="4" w:space="0" w:color="00B0F0"/>
              <w:right w:val="single" w:sz="4" w:space="0" w:color="00B0F0"/>
            </w:tcBorders>
          </w:tcPr>
          <w:p w14:paraId="1BCFD6D5"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95.00%</w:t>
            </w:r>
          </w:p>
        </w:tc>
        <w:tc>
          <w:tcPr>
            <w:tcW w:w="956" w:type="dxa"/>
            <w:tcBorders>
              <w:top w:val="single" w:sz="4" w:space="0" w:color="F2F2F2" w:themeColor="accent6" w:themeTint="33"/>
              <w:left w:val="single" w:sz="4" w:space="0" w:color="00B0F0"/>
              <w:right w:val="single" w:sz="4" w:space="0" w:color="00B0F0"/>
            </w:tcBorders>
          </w:tcPr>
          <w:p w14:paraId="0F7161E1"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c>
          <w:tcPr>
            <w:tcW w:w="956" w:type="dxa"/>
            <w:tcBorders>
              <w:top w:val="single" w:sz="4" w:space="0" w:color="F2F2F2" w:themeColor="accent6" w:themeTint="33"/>
              <w:left w:val="single" w:sz="4" w:space="0" w:color="00B0F0"/>
              <w:right w:val="single" w:sz="4" w:space="0" w:color="00B0F0"/>
            </w:tcBorders>
          </w:tcPr>
          <w:p w14:paraId="0BC4A692" w14:textId="77777777" w:rsidR="00970194" w:rsidRPr="00E71827" w:rsidRDefault="006B0B2B" w:rsidP="00E71827">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r>
      <w:tr w:rsidR="0072600E" w:rsidRPr="000A07D8" w14:paraId="5459B536" w14:textId="77777777" w:rsidTr="0072600E">
        <w:trPr>
          <w:trHeight w:val="217"/>
          <w:jc w:val="center"/>
        </w:trPr>
        <w:tc>
          <w:tcPr>
            <w:tcW w:w="1451" w:type="dxa"/>
            <w:tcBorders>
              <w:left w:val="single" w:sz="4" w:space="0" w:color="00B0F0"/>
              <w:right w:val="single" w:sz="4" w:space="0" w:color="00B0F0"/>
            </w:tcBorders>
            <w:shd w:val="clear" w:color="auto" w:fill="auto"/>
            <w:noWrap/>
          </w:tcPr>
          <w:p w14:paraId="5D692176" w14:textId="77777777" w:rsidR="0072600E" w:rsidRPr="00E71827" w:rsidRDefault="0072600E" w:rsidP="0072600E">
            <w:pPr>
              <w:spacing w:after="0"/>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Miscellaneous</w:t>
            </w:r>
          </w:p>
        </w:tc>
        <w:tc>
          <w:tcPr>
            <w:tcW w:w="661" w:type="dxa"/>
            <w:tcBorders>
              <w:left w:val="single" w:sz="4" w:space="0" w:color="00B0F0"/>
              <w:right w:val="single" w:sz="4" w:space="0" w:color="00B0F0"/>
            </w:tcBorders>
          </w:tcPr>
          <w:p w14:paraId="25359837"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3</w:t>
            </w:r>
          </w:p>
        </w:tc>
        <w:tc>
          <w:tcPr>
            <w:tcW w:w="1218" w:type="dxa"/>
            <w:tcBorders>
              <w:left w:val="single" w:sz="4" w:space="0" w:color="00B0F0"/>
              <w:right w:val="single" w:sz="4" w:space="0" w:color="00B0F0"/>
            </w:tcBorders>
            <w:vAlign w:val="bottom"/>
          </w:tcPr>
          <w:p w14:paraId="141D427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100.00%</w:t>
            </w:r>
          </w:p>
        </w:tc>
        <w:tc>
          <w:tcPr>
            <w:tcW w:w="1519" w:type="dxa"/>
            <w:tcBorders>
              <w:left w:val="single" w:sz="4" w:space="0" w:color="00B0F0"/>
              <w:right w:val="single" w:sz="4" w:space="0" w:color="00B0F0"/>
            </w:tcBorders>
          </w:tcPr>
          <w:p w14:paraId="418C53F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 Residential</w:t>
            </w:r>
          </w:p>
        </w:tc>
        <w:tc>
          <w:tcPr>
            <w:tcW w:w="680" w:type="dxa"/>
            <w:tcBorders>
              <w:left w:val="single" w:sz="4" w:space="0" w:color="00B0F0"/>
              <w:right w:val="single" w:sz="4" w:space="0" w:color="00B0F0"/>
            </w:tcBorders>
          </w:tcPr>
          <w:p w14:paraId="3F7EA238"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4</w:t>
            </w:r>
          </w:p>
        </w:tc>
        <w:tc>
          <w:tcPr>
            <w:tcW w:w="1467" w:type="dxa"/>
            <w:tcBorders>
              <w:left w:val="single" w:sz="4" w:space="0" w:color="00B0F0"/>
              <w:right w:val="single" w:sz="4" w:space="0" w:color="00B0F0"/>
            </w:tcBorders>
            <w:shd w:val="clear" w:color="auto" w:fill="auto"/>
            <w:noWrap/>
            <w:vAlign w:val="bottom"/>
          </w:tcPr>
          <w:p w14:paraId="7822169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90.00%</w:t>
            </w:r>
          </w:p>
        </w:tc>
        <w:tc>
          <w:tcPr>
            <w:tcW w:w="956" w:type="dxa"/>
            <w:tcBorders>
              <w:left w:val="single" w:sz="4" w:space="0" w:color="00B0F0"/>
              <w:right w:val="single" w:sz="4" w:space="0" w:color="00B0F0"/>
            </w:tcBorders>
          </w:tcPr>
          <w:p w14:paraId="4ECA377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96.67%</w:t>
            </w:r>
          </w:p>
        </w:tc>
        <w:tc>
          <w:tcPr>
            <w:tcW w:w="956" w:type="dxa"/>
            <w:tcBorders>
              <w:left w:val="single" w:sz="4" w:space="0" w:color="00B0F0"/>
              <w:right w:val="single" w:sz="4" w:space="0" w:color="00B0F0"/>
            </w:tcBorders>
          </w:tcPr>
          <w:p w14:paraId="3EBE8D2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93.33%</w:t>
            </w:r>
          </w:p>
        </w:tc>
        <w:tc>
          <w:tcPr>
            <w:tcW w:w="956" w:type="dxa"/>
            <w:tcBorders>
              <w:left w:val="single" w:sz="4" w:space="0" w:color="00B0F0"/>
              <w:right w:val="single" w:sz="4" w:space="0" w:color="00B0F0"/>
            </w:tcBorders>
          </w:tcPr>
          <w:p w14:paraId="2F39B82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90.00%</w:t>
            </w:r>
          </w:p>
        </w:tc>
      </w:tr>
      <w:tr w:rsidR="0072600E" w:rsidRPr="000A07D8" w14:paraId="2CB8A51F" w14:textId="77777777" w:rsidTr="0072600E">
        <w:trPr>
          <w:trHeight w:val="217"/>
          <w:jc w:val="center"/>
        </w:trPr>
        <w:tc>
          <w:tcPr>
            <w:tcW w:w="1451"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tcPr>
          <w:p w14:paraId="1089AFB0" w14:textId="77777777" w:rsidR="0072600E" w:rsidRPr="00E71827" w:rsidRDefault="0072600E" w:rsidP="0072600E">
            <w:pPr>
              <w:spacing w:after="0"/>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Ex City Rural</w:t>
            </w:r>
          </w:p>
        </w:tc>
        <w:tc>
          <w:tcPr>
            <w:tcW w:w="661" w:type="dxa"/>
            <w:tcBorders>
              <w:top w:val="single" w:sz="4" w:space="0" w:color="00B0F0"/>
              <w:left w:val="single" w:sz="4" w:space="0" w:color="00B0F0"/>
              <w:bottom w:val="single" w:sz="4" w:space="0" w:color="F2F2F2" w:themeColor="accent6" w:themeTint="33"/>
              <w:right w:val="single" w:sz="4" w:space="0" w:color="00B0F0"/>
            </w:tcBorders>
          </w:tcPr>
          <w:p w14:paraId="0D25A8F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4</w:t>
            </w:r>
          </w:p>
        </w:tc>
        <w:tc>
          <w:tcPr>
            <w:tcW w:w="1218" w:type="dxa"/>
            <w:tcBorders>
              <w:top w:val="single" w:sz="4" w:space="0" w:color="00B0F0"/>
              <w:left w:val="single" w:sz="4" w:space="0" w:color="00B0F0"/>
              <w:bottom w:val="single" w:sz="4" w:space="0" w:color="F2F2F2" w:themeColor="accent6" w:themeTint="33"/>
              <w:right w:val="single" w:sz="4" w:space="0" w:color="00B0F0"/>
            </w:tcBorders>
            <w:vAlign w:val="bottom"/>
          </w:tcPr>
          <w:p w14:paraId="78CFBDC8" w14:textId="77777777" w:rsidR="0072600E" w:rsidRPr="00E71827" w:rsidRDefault="0072600E" w:rsidP="008C5D53">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63.47</w:t>
            </w:r>
            <w:r w:rsidR="008C5D53">
              <w:rPr>
                <w:rFonts w:ascii="Calibri" w:eastAsia="Times New Roman" w:hAnsi="Calibri" w:cs="Calibri"/>
                <w:color w:val="000000"/>
                <w:sz w:val="18"/>
                <w:szCs w:val="18"/>
                <w:lang w:eastAsia="en-NZ"/>
              </w:rPr>
              <w:t>%</w:t>
            </w:r>
          </w:p>
        </w:tc>
        <w:tc>
          <w:tcPr>
            <w:tcW w:w="1519" w:type="dxa"/>
            <w:tcBorders>
              <w:top w:val="single" w:sz="4" w:space="0" w:color="00B0F0"/>
              <w:left w:val="single" w:sz="4" w:space="0" w:color="00B0F0"/>
              <w:bottom w:val="single" w:sz="4" w:space="0" w:color="F2F2F2" w:themeColor="accent6" w:themeTint="33"/>
              <w:right w:val="single" w:sz="4" w:space="0" w:color="00B0F0"/>
            </w:tcBorders>
          </w:tcPr>
          <w:p w14:paraId="54B0886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Residential/Other</w:t>
            </w:r>
          </w:p>
        </w:tc>
        <w:tc>
          <w:tcPr>
            <w:tcW w:w="680" w:type="dxa"/>
            <w:tcBorders>
              <w:top w:val="single" w:sz="4" w:space="0" w:color="00B0F0"/>
              <w:left w:val="single" w:sz="4" w:space="0" w:color="00B0F0"/>
              <w:bottom w:val="single" w:sz="4" w:space="0" w:color="F2F2F2" w:themeColor="accent6" w:themeTint="33"/>
              <w:right w:val="single" w:sz="4" w:space="0" w:color="00B0F0"/>
            </w:tcBorders>
          </w:tcPr>
          <w:p w14:paraId="136CF2A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1</w:t>
            </w:r>
          </w:p>
        </w:tc>
        <w:tc>
          <w:tcPr>
            <w:tcW w:w="1467"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vAlign w:val="bottom"/>
          </w:tcPr>
          <w:p w14:paraId="55A54BA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415429D9"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75.65%</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54D63E0D"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87.82%</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3A1758D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100.00%</w:t>
            </w:r>
          </w:p>
        </w:tc>
      </w:tr>
      <w:tr w:rsidR="0072600E" w:rsidRPr="000A07D8" w14:paraId="6BA520D0" w14:textId="77777777" w:rsidTr="0072600E">
        <w:trPr>
          <w:trHeight w:val="217"/>
          <w:jc w:val="center"/>
        </w:trPr>
        <w:tc>
          <w:tcPr>
            <w:tcW w:w="1451"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tcPr>
          <w:p w14:paraId="42A36EC1"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Ex City Rural</w:t>
            </w:r>
          </w:p>
        </w:tc>
        <w:tc>
          <w:tcPr>
            <w:tcW w:w="661"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12DCA973"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4</w:t>
            </w:r>
          </w:p>
        </w:tc>
        <w:tc>
          <w:tcPr>
            <w:tcW w:w="1218" w:type="dxa"/>
            <w:tcBorders>
              <w:top w:val="single" w:sz="4" w:space="0" w:color="F2F2F2" w:themeColor="accent6" w:themeTint="33"/>
              <w:left w:val="single" w:sz="4" w:space="0" w:color="00B0F0"/>
              <w:bottom w:val="single" w:sz="4" w:space="0" w:color="F2F2F2" w:themeColor="accent6" w:themeTint="33"/>
              <w:right w:val="single" w:sz="4" w:space="0" w:color="00B0F0"/>
            </w:tcBorders>
            <w:vAlign w:val="bottom"/>
          </w:tcPr>
          <w:p w14:paraId="365D514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63.47%</w:t>
            </w:r>
          </w:p>
        </w:tc>
        <w:tc>
          <w:tcPr>
            <w:tcW w:w="1519"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3503187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 Residential</w:t>
            </w:r>
          </w:p>
        </w:tc>
        <w:tc>
          <w:tcPr>
            <w:tcW w:w="680"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52CE254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4</w:t>
            </w:r>
          </w:p>
        </w:tc>
        <w:tc>
          <w:tcPr>
            <w:tcW w:w="1467"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vAlign w:val="bottom"/>
          </w:tcPr>
          <w:p w14:paraId="497920C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46EA9801"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72.31%</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30D63CED"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81.16%</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25EC0C6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r>
      <w:tr w:rsidR="0072600E" w:rsidRPr="000A07D8" w14:paraId="3358D1B4" w14:textId="77777777" w:rsidTr="0072600E">
        <w:trPr>
          <w:trHeight w:val="235"/>
          <w:jc w:val="center"/>
        </w:trPr>
        <w:tc>
          <w:tcPr>
            <w:tcW w:w="1451"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vAlign w:val="bottom"/>
          </w:tcPr>
          <w:p w14:paraId="38E8B16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Ex City Rural</w:t>
            </w:r>
          </w:p>
        </w:tc>
        <w:tc>
          <w:tcPr>
            <w:tcW w:w="661" w:type="dxa"/>
            <w:tcBorders>
              <w:top w:val="single" w:sz="4" w:space="0" w:color="F2F2F2" w:themeColor="accent6" w:themeTint="33"/>
              <w:left w:val="single" w:sz="4" w:space="0" w:color="00B0F0"/>
              <w:bottom w:val="single" w:sz="4" w:space="0" w:color="00B0F0"/>
              <w:right w:val="single" w:sz="4" w:space="0" w:color="00B0F0"/>
            </w:tcBorders>
          </w:tcPr>
          <w:p w14:paraId="51EA1D79"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4</w:t>
            </w:r>
          </w:p>
        </w:tc>
        <w:tc>
          <w:tcPr>
            <w:tcW w:w="1218" w:type="dxa"/>
            <w:tcBorders>
              <w:top w:val="single" w:sz="4" w:space="0" w:color="F2F2F2" w:themeColor="accent6" w:themeTint="33"/>
              <w:left w:val="single" w:sz="4" w:space="0" w:color="00B0F0"/>
              <w:bottom w:val="single" w:sz="4" w:space="0" w:color="00B0F0"/>
              <w:right w:val="single" w:sz="4" w:space="0" w:color="00B0F0"/>
            </w:tcBorders>
            <w:vAlign w:val="bottom"/>
          </w:tcPr>
          <w:p w14:paraId="1D798420"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63.47%</w:t>
            </w:r>
          </w:p>
        </w:tc>
        <w:tc>
          <w:tcPr>
            <w:tcW w:w="1519" w:type="dxa"/>
            <w:tcBorders>
              <w:top w:val="single" w:sz="4" w:space="0" w:color="F2F2F2" w:themeColor="accent6" w:themeTint="33"/>
              <w:left w:val="single" w:sz="4" w:space="0" w:color="00B0F0"/>
              <w:bottom w:val="single" w:sz="4" w:space="0" w:color="00B0F0"/>
              <w:right w:val="single" w:sz="4" w:space="0" w:color="00B0F0"/>
            </w:tcBorders>
          </w:tcPr>
          <w:p w14:paraId="59CE78F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w:t>
            </w:r>
          </w:p>
        </w:tc>
        <w:tc>
          <w:tcPr>
            <w:tcW w:w="680" w:type="dxa"/>
            <w:tcBorders>
              <w:top w:val="single" w:sz="4" w:space="0" w:color="F2F2F2" w:themeColor="accent6" w:themeTint="33"/>
              <w:left w:val="single" w:sz="4" w:space="0" w:color="00B0F0"/>
              <w:bottom w:val="single" w:sz="4" w:space="0" w:color="00B0F0"/>
              <w:right w:val="single" w:sz="4" w:space="0" w:color="00B0F0"/>
            </w:tcBorders>
          </w:tcPr>
          <w:p w14:paraId="6102B40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467"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vAlign w:val="bottom"/>
          </w:tcPr>
          <w:p w14:paraId="3FC161C3"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78D03AE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70.65%</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67715BB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77.82%</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02D7FED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r>
      <w:tr w:rsidR="0072600E" w:rsidRPr="000A07D8" w14:paraId="5B09EF56" w14:textId="77777777" w:rsidTr="0072600E">
        <w:trPr>
          <w:trHeight w:val="139"/>
          <w:jc w:val="center"/>
        </w:trPr>
        <w:tc>
          <w:tcPr>
            <w:tcW w:w="1451"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vAlign w:val="bottom"/>
          </w:tcPr>
          <w:p w14:paraId="7171BE6E"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Other Rural</w:t>
            </w:r>
          </w:p>
        </w:tc>
        <w:tc>
          <w:tcPr>
            <w:tcW w:w="661" w:type="dxa"/>
            <w:tcBorders>
              <w:top w:val="single" w:sz="4" w:space="0" w:color="00B0F0"/>
              <w:left w:val="single" w:sz="4" w:space="0" w:color="00B0F0"/>
              <w:bottom w:val="single" w:sz="4" w:space="0" w:color="F2F2F2" w:themeColor="accent6" w:themeTint="33"/>
              <w:right w:val="single" w:sz="4" w:space="0" w:color="00B0F0"/>
            </w:tcBorders>
          </w:tcPr>
          <w:p w14:paraId="33A3833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5</w:t>
            </w:r>
          </w:p>
        </w:tc>
        <w:tc>
          <w:tcPr>
            <w:tcW w:w="1218" w:type="dxa"/>
            <w:tcBorders>
              <w:top w:val="single" w:sz="4" w:space="0" w:color="00B0F0"/>
              <w:left w:val="single" w:sz="4" w:space="0" w:color="00B0F0"/>
              <w:bottom w:val="single" w:sz="4" w:space="0" w:color="F2F2F2" w:themeColor="accent6" w:themeTint="33"/>
              <w:right w:val="single" w:sz="4" w:space="0" w:color="00B0F0"/>
            </w:tcBorders>
            <w:vAlign w:val="bottom"/>
          </w:tcPr>
          <w:p w14:paraId="22ED953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63.47%</w:t>
            </w:r>
          </w:p>
        </w:tc>
        <w:tc>
          <w:tcPr>
            <w:tcW w:w="1519" w:type="dxa"/>
            <w:tcBorders>
              <w:top w:val="single" w:sz="4" w:space="0" w:color="00B0F0"/>
              <w:left w:val="single" w:sz="4" w:space="0" w:color="00B0F0"/>
              <w:bottom w:val="single" w:sz="4" w:space="0" w:color="F2F2F2" w:themeColor="accent6" w:themeTint="33"/>
              <w:right w:val="single" w:sz="4" w:space="0" w:color="00B0F0"/>
            </w:tcBorders>
          </w:tcPr>
          <w:p w14:paraId="0F816C3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Residential/Other</w:t>
            </w:r>
          </w:p>
        </w:tc>
        <w:tc>
          <w:tcPr>
            <w:tcW w:w="680" w:type="dxa"/>
            <w:tcBorders>
              <w:top w:val="single" w:sz="4" w:space="0" w:color="00B0F0"/>
              <w:left w:val="single" w:sz="4" w:space="0" w:color="00B0F0"/>
              <w:bottom w:val="single" w:sz="4" w:space="0" w:color="F2F2F2" w:themeColor="accent6" w:themeTint="33"/>
              <w:right w:val="single" w:sz="4" w:space="0" w:color="00B0F0"/>
            </w:tcBorders>
          </w:tcPr>
          <w:p w14:paraId="7320632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w:t>
            </w:r>
          </w:p>
        </w:tc>
        <w:tc>
          <w:tcPr>
            <w:tcW w:w="1467"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vAlign w:val="bottom"/>
          </w:tcPr>
          <w:p w14:paraId="3C88905B"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5E16CE1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75.65%</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2BED6329"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87.82%</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4D01D9B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r>
      <w:tr w:rsidR="0072600E" w:rsidRPr="000A07D8" w14:paraId="4642DF45" w14:textId="77777777" w:rsidTr="0072600E">
        <w:trPr>
          <w:trHeight w:val="184"/>
          <w:jc w:val="center"/>
        </w:trPr>
        <w:tc>
          <w:tcPr>
            <w:tcW w:w="1451"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tcPr>
          <w:p w14:paraId="272F9661"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Other Rural</w:t>
            </w:r>
          </w:p>
        </w:tc>
        <w:tc>
          <w:tcPr>
            <w:tcW w:w="661"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67A8BC6F"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5</w:t>
            </w:r>
          </w:p>
        </w:tc>
        <w:tc>
          <w:tcPr>
            <w:tcW w:w="1218"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4F51ED2D"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63.47%</w:t>
            </w:r>
          </w:p>
        </w:tc>
        <w:tc>
          <w:tcPr>
            <w:tcW w:w="1519"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1504C50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 Residential</w:t>
            </w:r>
          </w:p>
        </w:tc>
        <w:tc>
          <w:tcPr>
            <w:tcW w:w="680"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73080DD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4</w:t>
            </w:r>
          </w:p>
        </w:tc>
        <w:tc>
          <w:tcPr>
            <w:tcW w:w="1467"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vAlign w:val="bottom"/>
          </w:tcPr>
          <w:p w14:paraId="1707B89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1E41376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72.31%</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46F7F769"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81.16%</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31DB546E"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r>
      <w:tr w:rsidR="0072600E" w:rsidRPr="000A07D8" w14:paraId="34A87EC3" w14:textId="77777777" w:rsidTr="0072600E">
        <w:trPr>
          <w:trHeight w:val="375"/>
          <w:jc w:val="center"/>
        </w:trPr>
        <w:tc>
          <w:tcPr>
            <w:tcW w:w="1451"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tcPr>
          <w:p w14:paraId="0E7C35B5" w14:textId="77777777" w:rsidR="0072600E" w:rsidRDefault="0072600E" w:rsidP="0072600E">
            <w:pPr>
              <w:spacing w:after="0"/>
              <w:jc w:val="center"/>
              <w:rPr>
                <w:rFonts w:ascii="Calibri" w:eastAsia="Times New Roman" w:hAnsi="Calibri" w:cs="Calibri"/>
                <w:color w:val="000000"/>
                <w:sz w:val="18"/>
                <w:szCs w:val="18"/>
                <w:lang w:eastAsia="en-NZ"/>
              </w:rPr>
            </w:pPr>
          </w:p>
          <w:p w14:paraId="4E2519D9"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Other Rural</w:t>
            </w:r>
          </w:p>
        </w:tc>
        <w:tc>
          <w:tcPr>
            <w:tcW w:w="661"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005D8369" w14:textId="77777777" w:rsidR="0072600E" w:rsidRDefault="0072600E" w:rsidP="0072600E">
            <w:pPr>
              <w:spacing w:after="0"/>
              <w:jc w:val="center"/>
              <w:rPr>
                <w:rFonts w:ascii="Calibri" w:eastAsia="Times New Roman" w:hAnsi="Calibri" w:cs="Calibri"/>
                <w:color w:val="000000"/>
                <w:sz w:val="18"/>
                <w:szCs w:val="18"/>
                <w:lang w:eastAsia="en-NZ"/>
              </w:rPr>
            </w:pPr>
          </w:p>
          <w:p w14:paraId="1E870400"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5</w:t>
            </w:r>
          </w:p>
        </w:tc>
        <w:tc>
          <w:tcPr>
            <w:tcW w:w="1218"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3CB137F6"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63.47%</w:t>
            </w:r>
          </w:p>
        </w:tc>
        <w:tc>
          <w:tcPr>
            <w:tcW w:w="1519"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75BCB6E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Commercial &amp; Industrial</w:t>
            </w:r>
          </w:p>
        </w:tc>
        <w:tc>
          <w:tcPr>
            <w:tcW w:w="680"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63C284C7"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386CA8AD"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w:t>
            </w:r>
          </w:p>
        </w:tc>
        <w:tc>
          <w:tcPr>
            <w:tcW w:w="1467"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vAlign w:val="bottom"/>
          </w:tcPr>
          <w:p w14:paraId="3B8FBB4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260.00%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1410891C"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5968A361"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128.98%</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1E50A086"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162AF7D1"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194.49%</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0971DD2D"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703ECF6D"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260.00%</w:t>
            </w:r>
          </w:p>
        </w:tc>
      </w:tr>
      <w:tr w:rsidR="0072600E" w:rsidRPr="000A07D8" w14:paraId="4E65F3BA" w14:textId="77777777" w:rsidTr="0072600E">
        <w:trPr>
          <w:trHeight w:val="139"/>
          <w:jc w:val="center"/>
        </w:trPr>
        <w:tc>
          <w:tcPr>
            <w:tcW w:w="1451"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tcPr>
          <w:p w14:paraId="3F13C38D"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Other Rural</w:t>
            </w:r>
          </w:p>
        </w:tc>
        <w:tc>
          <w:tcPr>
            <w:tcW w:w="661" w:type="dxa"/>
            <w:tcBorders>
              <w:top w:val="single" w:sz="4" w:space="0" w:color="F2F2F2" w:themeColor="accent6" w:themeTint="33"/>
              <w:left w:val="single" w:sz="4" w:space="0" w:color="00B0F0"/>
              <w:bottom w:val="single" w:sz="4" w:space="0" w:color="00B0F0"/>
              <w:right w:val="single" w:sz="4" w:space="0" w:color="00B0F0"/>
            </w:tcBorders>
          </w:tcPr>
          <w:p w14:paraId="7441C15A"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5</w:t>
            </w:r>
          </w:p>
        </w:tc>
        <w:tc>
          <w:tcPr>
            <w:tcW w:w="1218" w:type="dxa"/>
            <w:tcBorders>
              <w:top w:val="single" w:sz="4" w:space="0" w:color="F2F2F2" w:themeColor="accent6" w:themeTint="33"/>
              <w:left w:val="single" w:sz="4" w:space="0" w:color="00B0F0"/>
              <w:bottom w:val="single" w:sz="4" w:space="0" w:color="00B0F0"/>
              <w:right w:val="single" w:sz="4" w:space="0" w:color="00B0F0"/>
            </w:tcBorders>
          </w:tcPr>
          <w:p w14:paraId="19A37E54"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63.47%</w:t>
            </w:r>
          </w:p>
        </w:tc>
        <w:tc>
          <w:tcPr>
            <w:tcW w:w="1519" w:type="dxa"/>
            <w:tcBorders>
              <w:top w:val="single" w:sz="4" w:space="0" w:color="F2F2F2" w:themeColor="accent6" w:themeTint="33"/>
              <w:left w:val="single" w:sz="4" w:space="0" w:color="00B0F0"/>
              <w:bottom w:val="single" w:sz="4" w:space="0" w:color="00B0F0"/>
              <w:right w:val="single" w:sz="4" w:space="0" w:color="00B0F0"/>
            </w:tcBorders>
          </w:tcPr>
          <w:p w14:paraId="30320DE5"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w:t>
            </w:r>
          </w:p>
        </w:tc>
        <w:tc>
          <w:tcPr>
            <w:tcW w:w="680" w:type="dxa"/>
            <w:tcBorders>
              <w:top w:val="single" w:sz="4" w:space="0" w:color="F2F2F2" w:themeColor="accent6" w:themeTint="33"/>
              <w:left w:val="single" w:sz="4" w:space="0" w:color="00B0F0"/>
              <w:bottom w:val="single" w:sz="4" w:space="0" w:color="00B0F0"/>
              <w:right w:val="single" w:sz="4" w:space="0" w:color="00B0F0"/>
            </w:tcBorders>
          </w:tcPr>
          <w:p w14:paraId="0B4BD89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3</w:t>
            </w:r>
          </w:p>
        </w:tc>
        <w:tc>
          <w:tcPr>
            <w:tcW w:w="1467"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vAlign w:val="bottom"/>
          </w:tcPr>
          <w:p w14:paraId="77C00C5D"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1DA735E3"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70.65%</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32CB00B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77.82%</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30E7F9C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85.00%</w:t>
            </w:r>
          </w:p>
        </w:tc>
      </w:tr>
      <w:tr w:rsidR="0072600E" w:rsidRPr="000A07D8" w14:paraId="249D7610" w14:textId="77777777" w:rsidTr="0072600E">
        <w:trPr>
          <w:trHeight w:val="171"/>
          <w:jc w:val="center"/>
        </w:trPr>
        <w:tc>
          <w:tcPr>
            <w:tcW w:w="1451"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vAlign w:val="bottom"/>
          </w:tcPr>
          <w:p w14:paraId="3843F565"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Bay View</w:t>
            </w:r>
          </w:p>
        </w:tc>
        <w:tc>
          <w:tcPr>
            <w:tcW w:w="661" w:type="dxa"/>
            <w:tcBorders>
              <w:top w:val="single" w:sz="4" w:space="0" w:color="00B0F0"/>
              <w:left w:val="single" w:sz="4" w:space="0" w:color="00B0F0"/>
              <w:bottom w:val="single" w:sz="4" w:space="0" w:color="F2F2F2" w:themeColor="accent6" w:themeTint="33"/>
              <w:right w:val="single" w:sz="4" w:space="0" w:color="00B0F0"/>
            </w:tcBorders>
          </w:tcPr>
          <w:p w14:paraId="222A00D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6</w:t>
            </w:r>
          </w:p>
        </w:tc>
        <w:tc>
          <w:tcPr>
            <w:tcW w:w="1218" w:type="dxa"/>
            <w:tcBorders>
              <w:top w:val="single" w:sz="4" w:space="0" w:color="00B0F0"/>
              <w:left w:val="single" w:sz="4" w:space="0" w:color="00B0F0"/>
              <w:bottom w:val="single" w:sz="4" w:space="0" w:color="F2F2F2" w:themeColor="accent6" w:themeTint="33"/>
              <w:right w:val="single" w:sz="4" w:space="0" w:color="00B0F0"/>
            </w:tcBorders>
          </w:tcPr>
          <w:p w14:paraId="406E9663"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72.80%</w:t>
            </w:r>
          </w:p>
        </w:tc>
        <w:tc>
          <w:tcPr>
            <w:tcW w:w="1519" w:type="dxa"/>
            <w:tcBorders>
              <w:top w:val="single" w:sz="4" w:space="0" w:color="00B0F0"/>
              <w:left w:val="single" w:sz="4" w:space="0" w:color="00B0F0"/>
              <w:bottom w:val="single" w:sz="4" w:space="0" w:color="F2F2F2" w:themeColor="accent6" w:themeTint="33"/>
              <w:right w:val="single" w:sz="4" w:space="0" w:color="00B0F0"/>
            </w:tcBorders>
          </w:tcPr>
          <w:p w14:paraId="6D8C37D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Residential/Other</w:t>
            </w:r>
          </w:p>
        </w:tc>
        <w:tc>
          <w:tcPr>
            <w:tcW w:w="680" w:type="dxa"/>
            <w:tcBorders>
              <w:top w:val="single" w:sz="4" w:space="0" w:color="00B0F0"/>
              <w:left w:val="single" w:sz="4" w:space="0" w:color="00B0F0"/>
              <w:bottom w:val="single" w:sz="4" w:space="0" w:color="F2F2F2" w:themeColor="accent6" w:themeTint="33"/>
              <w:right w:val="single" w:sz="4" w:space="0" w:color="00B0F0"/>
            </w:tcBorders>
          </w:tcPr>
          <w:p w14:paraId="3747382E"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w:t>
            </w:r>
          </w:p>
        </w:tc>
        <w:tc>
          <w:tcPr>
            <w:tcW w:w="1467" w:type="dxa"/>
            <w:tcBorders>
              <w:top w:val="single" w:sz="4" w:space="0" w:color="00B0F0"/>
              <w:left w:val="single" w:sz="4" w:space="0" w:color="00B0F0"/>
              <w:bottom w:val="single" w:sz="4" w:space="0" w:color="F2F2F2" w:themeColor="accent6" w:themeTint="33"/>
              <w:right w:val="single" w:sz="4" w:space="0" w:color="00B0F0"/>
            </w:tcBorders>
            <w:shd w:val="clear" w:color="auto" w:fill="auto"/>
            <w:noWrap/>
            <w:vAlign w:val="bottom"/>
          </w:tcPr>
          <w:p w14:paraId="424306F7"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206F0BCC"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81.87%</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5F245152"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90.93%</w:t>
            </w:r>
          </w:p>
        </w:tc>
        <w:tc>
          <w:tcPr>
            <w:tcW w:w="956" w:type="dxa"/>
            <w:tcBorders>
              <w:top w:val="single" w:sz="4" w:space="0" w:color="00B0F0"/>
              <w:left w:val="single" w:sz="4" w:space="0" w:color="00B0F0"/>
              <w:bottom w:val="single" w:sz="4" w:space="0" w:color="F2F2F2" w:themeColor="accent6" w:themeTint="33"/>
              <w:right w:val="single" w:sz="4" w:space="0" w:color="00B0F0"/>
            </w:tcBorders>
          </w:tcPr>
          <w:p w14:paraId="0F50AA2F"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100.00%</w:t>
            </w:r>
          </w:p>
        </w:tc>
      </w:tr>
      <w:tr w:rsidR="0072600E" w:rsidRPr="000A07D8" w14:paraId="65E3B67E" w14:textId="77777777" w:rsidTr="0072600E">
        <w:trPr>
          <w:trHeight w:val="428"/>
          <w:jc w:val="center"/>
        </w:trPr>
        <w:tc>
          <w:tcPr>
            <w:tcW w:w="1451"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tcPr>
          <w:p w14:paraId="47C70500" w14:textId="77777777" w:rsidR="0072600E" w:rsidRDefault="0072600E" w:rsidP="0072600E">
            <w:pPr>
              <w:spacing w:after="0"/>
              <w:jc w:val="center"/>
              <w:rPr>
                <w:rFonts w:ascii="Calibri" w:eastAsia="Times New Roman" w:hAnsi="Calibri" w:cs="Calibri"/>
                <w:color w:val="000000"/>
                <w:sz w:val="18"/>
                <w:szCs w:val="18"/>
                <w:lang w:eastAsia="en-NZ"/>
              </w:rPr>
            </w:pPr>
          </w:p>
          <w:p w14:paraId="3917ABE4"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Bay View</w:t>
            </w:r>
          </w:p>
        </w:tc>
        <w:tc>
          <w:tcPr>
            <w:tcW w:w="661"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5C2A09F7" w14:textId="77777777" w:rsidR="0072600E" w:rsidRDefault="0072600E" w:rsidP="0072600E">
            <w:pPr>
              <w:spacing w:after="0"/>
              <w:jc w:val="center"/>
              <w:rPr>
                <w:rFonts w:ascii="Calibri" w:eastAsia="Times New Roman" w:hAnsi="Calibri" w:cs="Calibri"/>
                <w:color w:val="000000"/>
                <w:sz w:val="18"/>
                <w:szCs w:val="18"/>
                <w:lang w:eastAsia="en-NZ"/>
              </w:rPr>
            </w:pPr>
          </w:p>
          <w:p w14:paraId="53CD3527"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6</w:t>
            </w:r>
          </w:p>
        </w:tc>
        <w:tc>
          <w:tcPr>
            <w:tcW w:w="1218" w:type="dxa"/>
            <w:tcBorders>
              <w:top w:val="single" w:sz="4" w:space="0" w:color="F2F2F2" w:themeColor="accent6" w:themeTint="33"/>
              <w:left w:val="single" w:sz="4" w:space="0" w:color="00B0F0"/>
              <w:bottom w:val="single" w:sz="4" w:space="0" w:color="F2F2F2" w:themeColor="accent6" w:themeTint="33"/>
              <w:right w:val="single" w:sz="4" w:space="0" w:color="00B0F0"/>
            </w:tcBorders>
            <w:vAlign w:val="bottom"/>
          </w:tcPr>
          <w:p w14:paraId="027CECA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72.80%</w:t>
            </w:r>
          </w:p>
        </w:tc>
        <w:tc>
          <w:tcPr>
            <w:tcW w:w="1519"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0D8F1065"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Commercial &amp; Industrial</w:t>
            </w:r>
          </w:p>
        </w:tc>
        <w:tc>
          <w:tcPr>
            <w:tcW w:w="680"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4474AABD"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4AC7006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w:t>
            </w:r>
          </w:p>
        </w:tc>
        <w:tc>
          <w:tcPr>
            <w:tcW w:w="1467" w:type="dxa"/>
            <w:tcBorders>
              <w:top w:val="single" w:sz="4" w:space="0" w:color="F2F2F2" w:themeColor="accent6" w:themeTint="33"/>
              <w:left w:val="single" w:sz="4" w:space="0" w:color="00B0F0"/>
              <w:bottom w:val="single" w:sz="4" w:space="0" w:color="F2F2F2" w:themeColor="accent6" w:themeTint="33"/>
              <w:right w:val="single" w:sz="4" w:space="0" w:color="00B0F0"/>
            </w:tcBorders>
            <w:shd w:val="clear" w:color="auto" w:fill="auto"/>
            <w:noWrap/>
            <w:vAlign w:val="bottom"/>
          </w:tcPr>
          <w:p w14:paraId="4F677743"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260.00%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4F572B3E"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5E22C48F"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135.20%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76DB9662"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61253824"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197.60%</w:t>
            </w:r>
          </w:p>
        </w:tc>
        <w:tc>
          <w:tcPr>
            <w:tcW w:w="956" w:type="dxa"/>
            <w:tcBorders>
              <w:top w:val="single" w:sz="4" w:space="0" w:color="F2F2F2" w:themeColor="accent6" w:themeTint="33"/>
              <w:left w:val="single" w:sz="4" w:space="0" w:color="00B0F0"/>
              <w:bottom w:val="single" w:sz="4" w:space="0" w:color="F2F2F2" w:themeColor="accent6" w:themeTint="33"/>
              <w:right w:val="single" w:sz="4" w:space="0" w:color="00B0F0"/>
            </w:tcBorders>
          </w:tcPr>
          <w:p w14:paraId="6BE7B7BC" w14:textId="77777777" w:rsidR="0072600E" w:rsidRDefault="0072600E" w:rsidP="0072600E">
            <w:pPr>
              <w:spacing w:after="0" w:line="240" w:lineRule="auto"/>
              <w:jc w:val="center"/>
              <w:rPr>
                <w:rFonts w:ascii="Calibri" w:eastAsia="Times New Roman" w:hAnsi="Calibri" w:cs="Calibri"/>
                <w:color w:val="000000"/>
                <w:sz w:val="18"/>
                <w:szCs w:val="18"/>
                <w:lang w:eastAsia="en-NZ"/>
              </w:rPr>
            </w:pPr>
          </w:p>
          <w:p w14:paraId="33808E66"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260.00%</w:t>
            </w:r>
          </w:p>
        </w:tc>
      </w:tr>
      <w:tr w:rsidR="0072600E" w:rsidRPr="000A07D8" w14:paraId="2F280C7E" w14:textId="77777777" w:rsidTr="0072600E">
        <w:trPr>
          <w:trHeight w:val="124"/>
          <w:jc w:val="center"/>
        </w:trPr>
        <w:tc>
          <w:tcPr>
            <w:tcW w:w="1451"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tcPr>
          <w:p w14:paraId="6BDCFF00"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Bay View</w:t>
            </w:r>
          </w:p>
        </w:tc>
        <w:tc>
          <w:tcPr>
            <w:tcW w:w="661" w:type="dxa"/>
            <w:tcBorders>
              <w:top w:val="single" w:sz="4" w:space="0" w:color="F2F2F2" w:themeColor="accent6" w:themeTint="33"/>
              <w:left w:val="single" w:sz="4" w:space="0" w:color="00B0F0"/>
              <w:bottom w:val="single" w:sz="4" w:space="0" w:color="00B0F0"/>
              <w:right w:val="single" w:sz="4" w:space="0" w:color="00B0F0"/>
            </w:tcBorders>
          </w:tcPr>
          <w:p w14:paraId="182F8D2D" w14:textId="77777777" w:rsidR="0072600E" w:rsidRPr="00E71827" w:rsidRDefault="0072600E" w:rsidP="0072600E">
            <w:pPr>
              <w:spacing w:after="0"/>
              <w:jc w:val="center"/>
              <w:rPr>
                <w:rFonts w:ascii="Calibri" w:hAnsi="Calibri" w:cs="Calibri"/>
                <w:sz w:val="18"/>
                <w:szCs w:val="18"/>
              </w:rPr>
            </w:pPr>
            <w:r w:rsidRPr="00E71827">
              <w:rPr>
                <w:rFonts w:ascii="Calibri" w:eastAsia="Times New Roman" w:hAnsi="Calibri" w:cs="Calibri"/>
                <w:color w:val="000000"/>
                <w:sz w:val="18"/>
                <w:szCs w:val="18"/>
                <w:lang w:eastAsia="en-NZ"/>
              </w:rPr>
              <w:t>6</w:t>
            </w:r>
          </w:p>
        </w:tc>
        <w:tc>
          <w:tcPr>
            <w:tcW w:w="1218" w:type="dxa"/>
            <w:tcBorders>
              <w:top w:val="single" w:sz="4" w:space="0" w:color="F2F2F2" w:themeColor="accent6" w:themeTint="33"/>
              <w:left w:val="single" w:sz="4" w:space="0" w:color="00B0F0"/>
              <w:bottom w:val="single" w:sz="4" w:space="0" w:color="00B0F0"/>
              <w:right w:val="single" w:sz="4" w:space="0" w:color="00B0F0"/>
            </w:tcBorders>
            <w:vAlign w:val="bottom"/>
          </w:tcPr>
          <w:p w14:paraId="7347B9A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72.80%</w:t>
            </w:r>
          </w:p>
        </w:tc>
        <w:tc>
          <w:tcPr>
            <w:tcW w:w="1519" w:type="dxa"/>
            <w:tcBorders>
              <w:top w:val="single" w:sz="4" w:space="0" w:color="F2F2F2" w:themeColor="accent6" w:themeTint="33"/>
              <w:left w:val="single" w:sz="4" w:space="0" w:color="00B0F0"/>
              <w:bottom w:val="single" w:sz="4" w:space="0" w:color="00B0F0"/>
              <w:right w:val="single" w:sz="4" w:space="0" w:color="00B0F0"/>
            </w:tcBorders>
          </w:tcPr>
          <w:p w14:paraId="21AA58B8"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Rural Residential</w:t>
            </w:r>
          </w:p>
        </w:tc>
        <w:tc>
          <w:tcPr>
            <w:tcW w:w="680" w:type="dxa"/>
            <w:tcBorders>
              <w:top w:val="single" w:sz="4" w:space="0" w:color="F2F2F2" w:themeColor="accent6" w:themeTint="33"/>
              <w:left w:val="single" w:sz="4" w:space="0" w:color="00B0F0"/>
              <w:bottom w:val="single" w:sz="4" w:space="0" w:color="00B0F0"/>
              <w:right w:val="single" w:sz="4" w:space="0" w:color="00B0F0"/>
            </w:tcBorders>
          </w:tcPr>
          <w:p w14:paraId="1F1A59E5"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4</w:t>
            </w:r>
          </w:p>
        </w:tc>
        <w:tc>
          <w:tcPr>
            <w:tcW w:w="1467" w:type="dxa"/>
            <w:tcBorders>
              <w:top w:val="single" w:sz="4" w:space="0" w:color="F2F2F2" w:themeColor="accent6" w:themeTint="33"/>
              <w:left w:val="single" w:sz="4" w:space="0" w:color="00B0F0"/>
              <w:bottom w:val="single" w:sz="4" w:space="0" w:color="00B0F0"/>
              <w:right w:val="single" w:sz="4" w:space="0" w:color="00B0F0"/>
            </w:tcBorders>
            <w:shd w:val="clear" w:color="auto" w:fill="auto"/>
            <w:noWrap/>
            <w:vAlign w:val="bottom"/>
          </w:tcPr>
          <w:p w14:paraId="50F771DE"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3FD83D05"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78.53%</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65A9CDD1"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84.27%</w:t>
            </w:r>
          </w:p>
        </w:tc>
        <w:tc>
          <w:tcPr>
            <w:tcW w:w="956" w:type="dxa"/>
            <w:tcBorders>
              <w:top w:val="single" w:sz="4" w:space="0" w:color="F2F2F2" w:themeColor="accent6" w:themeTint="33"/>
              <w:left w:val="single" w:sz="4" w:space="0" w:color="00B0F0"/>
              <w:bottom w:val="single" w:sz="4" w:space="0" w:color="00B0F0"/>
              <w:right w:val="single" w:sz="4" w:space="0" w:color="00B0F0"/>
            </w:tcBorders>
          </w:tcPr>
          <w:p w14:paraId="3E49C56F" w14:textId="77777777" w:rsidR="0072600E" w:rsidRPr="00E71827" w:rsidRDefault="0072600E" w:rsidP="0072600E">
            <w:pPr>
              <w:spacing w:after="0" w:line="240" w:lineRule="auto"/>
              <w:jc w:val="center"/>
              <w:rPr>
                <w:rFonts w:ascii="Calibri" w:eastAsia="Times New Roman" w:hAnsi="Calibri" w:cs="Calibri"/>
                <w:color w:val="000000"/>
                <w:sz w:val="18"/>
                <w:szCs w:val="18"/>
                <w:lang w:eastAsia="en-NZ"/>
              </w:rPr>
            </w:pPr>
            <w:r w:rsidRPr="00E71827">
              <w:rPr>
                <w:rFonts w:ascii="Calibri" w:eastAsia="Times New Roman" w:hAnsi="Calibri" w:cs="Calibri"/>
                <w:color w:val="000000"/>
                <w:sz w:val="18"/>
                <w:szCs w:val="18"/>
                <w:lang w:eastAsia="en-NZ"/>
              </w:rPr>
              <w:t>90.00%</w:t>
            </w:r>
          </w:p>
        </w:tc>
      </w:tr>
    </w:tbl>
    <w:p w14:paraId="2E73F718" w14:textId="77777777" w:rsidR="00270D4B" w:rsidRDefault="00270D4B" w:rsidP="000D2659"/>
    <w:p w14:paraId="4C85AFF5" w14:textId="77777777" w:rsidR="004801EE" w:rsidRDefault="004801EE" w:rsidP="000D2659">
      <w:r>
        <w:t>The purpose of the differentials applied to the General Rate is to ensure that the amount payable by groups of ratepayers reflects Council’s assessment of the relative benefit received and share of costs those groups of ratepayers should bear based on the principles outlined in the Revenue and Financing Policy.</w:t>
      </w:r>
    </w:p>
    <w:p w14:paraId="3FBC238C" w14:textId="77777777" w:rsidR="00B70EF7" w:rsidRPr="00B70EF7" w:rsidRDefault="00B70EF7" w:rsidP="000D2659">
      <w:pPr>
        <w:rPr>
          <w:b/>
        </w:rPr>
      </w:pPr>
      <w:r w:rsidRPr="00B70EF7">
        <w:rPr>
          <w:b/>
        </w:rPr>
        <w:t xml:space="preserve">Notes on allocation of properties into differential categories </w:t>
      </w:r>
    </w:p>
    <w:p w14:paraId="2FAC754C" w14:textId="77777777" w:rsidR="00B70EF7" w:rsidRDefault="00B70EF7" w:rsidP="000D2659">
      <w:r>
        <w:t>Rating units which have no apparent land use (or are vacant properties) will be placed in the category which best suits the zoning of the property under the district plan except where the size or characteristic of the property suggest an alternative use.</w:t>
      </w:r>
    </w:p>
    <w:p w14:paraId="061CAA5F" w14:textId="77777777" w:rsidR="00B70EF7" w:rsidRDefault="00B70EF7" w:rsidP="000D2659">
      <w:r>
        <w:t xml:space="preserve">To avoid doubt where a rating unit has more than one use the relevant predominant use will be used to determine the category. </w:t>
      </w:r>
      <w:r w:rsidR="00C37AB3">
        <w:t>The predominant use relates to the main productive activity rather than just to the land area.  Where there is uncertainty the land will be categorised into the highest rated category.</w:t>
      </w:r>
    </w:p>
    <w:p w14:paraId="14C0B61D" w14:textId="77777777" w:rsidR="004801EE" w:rsidRDefault="00B70EF7" w:rsidP="000D2659">
      <w:r>
        <w:lastRenderedPageBreak/>
        <w:t>Subject to the right of objection as set out in Section 29 of the Local Government (Rating) Act 2002, it shall be at the sole discretion of the Council to determine the use or predominant use of all separately rateable properties in the district.</w:t>
      </w:r>
    </w:p>
    <w:p w14:paraId="40172178" w14:textId="77777777" w:rsidR="00E024FC" w:rsidRDefault="00E024FC" w:rsidP="00E024FC">
      <w:pPr>
        <w:pStyle w:val="Subtitle"/>
      </w:pPr>
      <w:r>
        <w:t>Uniform Annual General Charge (UAGC)</w:t>
      </w:r>
    </w:p>
    <w:p w14:paraId="526BD581" w14:textId="77777777" w:rsidR="00E024FC" w:rsidRDefault="00913EDA" w:rsidP="000D2659">
      <w:r>
        <w:t xml:space="preserve">Council’s Uniform Annual General Charge is set at a level that enables all Targeted Rates that are set on a uniform basis as a fixed amount, excluding those related to Water Supply and Sewage Disposal, to recover </w:t>
      </w:r>
      <w:r w:rsidR="00C37AB3">
        <w:t>between</w:t>
      </w:r>
      <w:r>
        <w:t xml:space="preserve"> 20% </w:t>
      </w:r>
      <w:r w:rsidR="00C37AB3">
        <w:t xml:space="preserve">and 25% </w:t>
      </w:r>
      <w:r>
        <w:t>of total rates.</w:t>
      </w:r>
    </w:p>
    <w:p w14:paraId="0DEA98B2" w14:textId="77777777" w:rsidR="00913EDA" w:rsidRDefault="00913EDA" w:rsidP="000D2659">
      <w:r>
        <w:t>The charge is applied to each separately used or inhabited part of a rating unit.</w:t>
      </w:r>
    </w:p>
    <w:p w14:paraId="7BF0AE8A" w14:textId="77777777" w:rsidR="00913EDA" w:rsidRPr="00607EC2" w:rsidRDefault="00607EC2" w:rsidP="00607EC2">
      <w:pPr>
        <w:pStyle w:val="ListParagraph"/>
        <w:ind w:left="284" w:hanging="284"/>
        <w:rPr>
          <w:color w:val="auto"/>
        </w:rPr>
      </w:pPr>
      <w:r w:rsidRPr="00607EC2">
        <w:rPr>
          <w:color w:val="auto"/>
        </w:rPr>
        <w:t>Targeted Rates</w:t>
      </w:r>
    </w:p>
    <w:p w14:paraId="5B64E815" w14:textId="77777777" w:rsidR="0011409E" w:rsidRDefault="0011409E" w:rsidP="0011409E">
      <w:r>
        <w:t>Targeted Rates are charged to fund both operating and capital expenditure. They are charged where Council considers it desirable to separate out the funding of an activity. They are charged to rating units including those units that are separately inhabited which have access to or are deemed to benefit from the service provided. Targeted rates are a funding mechanism that may be charged for activities deemed to have either a high public or a high private good to identified properties, an area of the city or the city as a whole.</w:t>
      </w:r>
    </w:p>
    <w:p w14:paraId="49284286" w14:textId="6688DBEA" w:rsidR="00E024FC" w:rsidRDefault="0011409E" w:rsidP="0011409E">
      <w:r>
        <w:t>Some targeted rates are applied differentially using either land or capital values, however most targeted rates are applied on a uniform basis (same amount or rate in the dollar).</w:t>
      </w:r>
    </w:p>
    <w:p w14:paraId="2B6996FF" w14:textId="7EEDE00C" w:rsidR="00C50DE2" w:rsidRPr="00C50DE2" w:rsidRDefault="00C50DE2" w:rsidP="0011409E">
      <w:pPr>
        <w:rPr>
          <w:b/>
          <w:u w:val="single"/>
        </w:rPr>
      </w:pPr>
      <w:r w:rsidRPr="00C50DE2">
        <w:rPr>
          <w:b/>
          <w:u w:val="single"/>
        </w:rPr>
        <w:t>Water</w:t>
      </w:r>
    </w:p>
    <w:p w14:paraId="288CE0CE" w14:textId="77777777" w:rsidR="00BC49E5" w:rsidRDefault="00BC49E5" w:rsidP="00BC49E5">
      <w:pPr>
        <w:pStyle w:val="Subtitle"/>
      </w:pPr>
      <w:r>
        <w:t>Fire Protection Rate</w:t>
      </w:r>
    </w:p>
    <w:p w14:paraId="3F98F54F" w14:textId="77777777" w:rsidR="00BC49E5" w:rsidRDefault="00BC49E5" w:rsidP="0011409E">
      <w:r>
        <w:t xml:space="preserve">This rate recovers a portion of the net costs of the water supply systems before the deduction of water by meter income. </w:t>
      </w:r>
    </w:p>
    <w:p w14:paraId="6A07B38F" w14:textId="77777777" w:rsidR="00BC49E5" w:rsidRDefault="00BC49E5" w:rsidP="0011409E">
      <w:r>
        <w:t xml:space="preserve">The Fire protection targeted rate is based on the Capital Value of properties connected to, or able to be connected to, the Napier City Council water supply systems. </w:t>
      </w:r>
    </w:p>
    <w:p w14:paraId="44806950" w14:textId="77777777" w:rsidR="00267223" w:rsidRDefault="00BC49E5" w:rsidP="0011409E">
      <w:r>
        <w:t>This rate is differentially applied, in recognition that the carrying capacity of water required in the reticulation system to protect commercial and industrial properties is greater than that required for residential properties. The rate is further differentiated where a property is not connected but is within 100 me</w:t>
      </w:r>
      <w:r w:rsidR="00BD33CE">
        <w:t xml:space="preserve">tres of a water supply system. </w:t>
      </w:r>
      <w:r w:rsidR="00E25B51" w:rsidRPr="00C50DE2">
        <w:t>5</w:t>
      </w:r>
      <w:r w:rsidRPr="00C50DE2">
        <w:t>0%</w:t>
      </w:r>
      <w:r>
        <w:t xml:space="preserve"> of the base rate for each differentiated category applies for each property not connected but located within 100 metres of the systems.</w:t>
      </w:r>
    </w:p>
    <w:tbl>
      <w:tblPr>
        <w:tblStyle w:val="TableGrid"/>
        <w:tblW w:w="0" w:type="auto"/>
        <w:tblLook w:val="04A0" w:firstRow="1" w:lastRow="0" w:firstColumn="1" w:lastColumn="0" w:noHBand="0" w:noVBand="1"/>
      </w:tblPr>
      <w:tblGrid>
        <w:gridCol w:w="3284"/>
        <w:gridCol w:w="3285"/>
        <w:gridCol w:w="3285"/>
      </w:tblGrid>
      <w:tr w:rsidR="00BC49E5" w14:paraId="0571B83E" w14:textId="77777777" w:rsidTr="00BC49E5">
        <w:tc>
          <w:tcPr>
            <w:tcW w:w="3284" w:type="dxa"/>
            <w:tcBorders>
              <w:top w:val="nil"/>
              <w:left w:val="nil"/>
              <w:bottom w:val="nil"/>
              <w:right w:val="nil"/>
            </w:tcBorders>
            <w:shd w:val="clear" w:color="auto" w:fill="00B0F0"/>
          </w:tcPr>
          <w:p w14:paraId="0D54FF47" w14:textId="77777777" w:rsidR="00BC49E5" w:rsidRPr="00BC49E5" w:rsidRDefault="00BC49E5" w:rsidP="0011409E">
            <w:pPr>
              <w:rPr>
                <w:color w:val="FFFFFF" w:themeColor="background1"/>
              </w:rPr>
            </w:pPr>
            <w:r w:rsidRPr="00BC49E5">
              <w:rPr>
                <w:color w:val="FFFFFF" w:themeColor="background1"/>
              </w:rPr>
              <w:t>Differentials</w:t>
            </w:r>
          </w:p>
        </w:tc>
        <w:tc>
          <w:tcPr>
            <w:tcW w:w="3285" w:type="dxa"/>
            <w:tcBorders>
              <w:top w:val="nil"/>
              <w:left w:val="nil"/>
              <w:bottom w:val="nil"/>
              <w:right w:val="nil"/>
            </w:tcBorders>
            <w:shd w:val="clear" w:color="auto" w:fill="00B0F0"/>
          </w:tcPr>
          <w:p w14:paraId="10D1F8C6" w14:textId="77777777" w:rsidR="00BC49E5" w:rsidRPr="00BC49E5" w:rsidRDefault="00BC49E5" w:rsidP="008A7469">
            <w:pPr>
              <w:jc w:val="center"/>
              <w:rPr>
                <w:color w:val="FFFFFF" w:themeColor="background1"/>
              </w:rPr>
            </w:pPr>
            <w:r w:rsidRPr="00BC49E5">
              <w:rPr>
                <w:color w:val="FFFFFF" w:themeColor="background1"/>
              </w:rPr>
              <w:t>Connected (%)</w:t>
            </w:r>
          </w:p>
        </w:tc>
        <w:tc>
          <w:tcPr>
            <w:tcW w:w="3285" w:type="dxa"/>
            <w:tcBorders>
              <w:top w:val="nil"/>
              <w:left w:val="nil"/>
              <w:bottom w:val="nil"/>
              <w:right w:val="nil"/>
            </w:tcBorders>
            <w:shd w:val="clear" w:color="auto" w:fill="00B0F0"/>
          </w:tcPr>
          <w:p w14:paraId="62417D53" w14:textId="77777777" w:rsidR="00BC49E5" w:rsidRPr="00BC49E5" w:rsidRDefault="00BC49E5" w:rsidP="0011409E">
            <w:pPr>
              <w:rPr>
                <w:color w:val="FFFFFF" w:themeColor="background1"/>
              </w:rPr>
            </w:pPr>
            <w:r w:rsidRPr="00BC49E5">
              <w:rPr>
                <w:color w:val="FFFFFF" w:themeColor="background1"/>
              </w:rPr>
              <w:t>Not connected but within 100m (%)</w:t>
            </w:r>
          </w:p>
        </w:tc>
      </w:tr>
      <w:tr w:rsidR="00BC49E5" w14:paraId="4FE965C4" w14:textId="77777777" w:rsidTr="00BC49E5">
        <w:tc>
          <w:tcPr>
            <w:tcW w:w="3284" w:type="dxa"/>
            <w:tcBorders>
              <w:top w:val="nil"/>
            </w:tcBorders>
          </w:tcPr>
          <w:p w14:paraId="76B5C2E4" w14:textId="77777777" w:rsidR="00BC49E5" w:rsidRPr="00BC49E5" w:rsidRDefault="00BC49E5" w:rsidP="0011409E">
            <w:pPr>
              <w:rPr>
                <w:sz w:val="18"/>
                <w:szCs w:val="18"/>
              </w:rPr>
            </w:pPr>
            <w:r w:rsidRPr="00BC49E5">
              <w:rPr>
                <w:sz w:val="18"/>
                <w:szCs w:val="18"/>
              </w:rPr>
              <w:t>Central Business District and Fringe Area</w:t>
            </w:r>
          </w:p>
        </w:tc>
        <w:tc>
          <w:tcPr>
            <w:tcW w:w="3285" w:type="dxa"/>
            <w:tcBorders>
              <w:top w:val="nil"/>
            </w:tcBorders>
          </w:tcPr>
          <w:p w14:paraId="360290A7" w14:textId="77777777" w:rsidR="00BC49E5" w:rsidRDefault="00BC49E5" w:rsidP="008A7469">
            <w:pPr>
              <w:jc w:val="center"/>
            </w:pPr>
            <w:r>
              <w:t>400%</w:t>
            </w:r>
          </w:p>
        </w:tc>
        <w:tc>
          <w:tcPr>
            <w:tcW w:w="3285" w:type="dxa"/>
            <w:tcBorders>
              <w:top w:val="nil"/>
            </w:tcBorders>
          </w:tcPr>
          <w:p w14:paraId="1B7418D5" w14:textId="77777777" w:rsidR="00BC49E5" w:rsidRDefault="00BC49E5" w:rsidP="00BC49E5">
            <w:pPr>
              <w:jc w:val="center"/>
            </w:pPr>
            <w:r>
              <w:t>200%</w:t>
            </w:r>
          </w:p>
        </w:tc>
      </w:tr>
      <w:tr w:rsidR="00BC49E5" w14:paraId="37ADBEEC" w14:textId="77777777" w:rsidTr="00BC49E5">
        <w:tc>
          <w:tcPr>
            <w:tcW w:w="3284" w:type="dxa"/>
          </w:tcPr>
          <w:p w14:paraId="47F1E77F" w14:textId="77777777" w:rsidR="00BC49E5" w:rsidRPr="00BC49E5" w:rsidRDefault="00BC49E5" w:rsidP="0011409E">
            <w:pPr>
              <w:rPr>
                <w:sz w:val="18"/>
                <w:szCs w:val="18"/>
              </w:rPr>
            </w:pPr>
            <w:r w:rsidRPr="00BC49E5">
              <w:rPr>
                <w:sz w:val="18"/>
                <w:szCs w:val="18"/>
              </w:rPr>
              <w:t>Suburban Shopping Centres, Hotels and Motels and Industrial rating units outside of the CBD</w:t>
            </w:r>
          </w:p>
        </w:tc>
        <w:tc>
          <w:tcPr>
            <w:tcW w:w="3285" w:type="dxa"/>
          </w:tcPr>
          <w:p w14:paraId="264ABE11" w14:textId="77777777" w:rsidR="00BC49E5" w:rsidRDefault="00BC49E5" w:rsidP="00BC49E5">
            <w:pPr>
              <w:jc w:val="center"/>
            </w:pPr>
            <w:r>
              <w:t>200%</w:t>
            </w:r>
          </w:p>
        </w:tc>
        <w:tc>
          <w:tcPr>
            <w:tcW w:w="3285" w:type="dxa"/>
          </w:tcPr>
          <w:p w14:paraId="1C6A5E3B" w14:textId="77777777" w:rsidR="00BC49E5" w:rsidRDefault="00BC49E5" w:rsidP="00BC49E5">
            <w:pPr>
              <w:jc w:val="center"/>
            </w:pPr>
            <w:r>
              <w:t>100%</w:t>
            </w:r>
          </w:p>
        </w:tc>
      </w:tr>
      <w:tr w:rsidR="00BC49E5" w14:paraId="386CCDEC" w14:textId="77777777" w:rsidTr="00BC49E5">
        <w:tc>
          <w:tcPr>
            <w:tcW w:w="3284" w:type="dxa"/>
          </w:tcPr>
          <w:p w14:paraId="1F823422" w14:textId="77777777" w:rsidR="00BC49E5" w:rsidRPr="00BC49E5" w:rsidRDefault="008A7469" w:rsidP="0011409E">
            <w:pPr>
              <w:rPr>
                <w:sz w:val="18"/>
                <w:szCs w:val="18"/>
              </w:rPr>
            </w:pPr>
            <w:r>
              <w:rPr>
                <w:sz w:val="18"/>
                <w:szCs w:val="18"/>
              </w:rPr>
              <w:t>Other Rating U</w:t>
            </w:r>
            <w:r w:rsidR="00BC49E5" w:rsidRPr="00BC49E5">
              <w:rPr>
                <w:sz w:val="18"/>
                <w:szCs w:val="18"/>
              </w:rPr>
              <w:t xml:space="preserve">nits connected to or able to be connected to the </w:t>
            </w:r>
            <w:r w:rsidR="00E25B51">
              <w:rPr>
                <w:sz w:val="18"/>
                <w:szCs w:val="18"/>
              </w:rPr>
              <w:t xml:space="preserve">Council </w:t>
            </w:r>
            <w:r w:rsidR="00BC49E5" w:rsidRPr="00BC49E5">
              <w:rPr>
                <w:sz w:val="18"/>
                <w:szCs w:val="18"/>
              </w:rPr>
              <w:t>water supply systems</w:t>
            </w:r>
          </w:p>
        </w:tc>
        <w:tc>
          <w:tcPr>
            <w:tcW w:w="3285" w:type="dxa"/>
          </w:tcPr>
          <w:p w14:paraId="6116D25E" w14:textId="77777777" w:rsidR="00BC49E5" w:rsidRDefault="00BC49E5" w:rsidP="00BC49E5">
            <w:pPr>
              <w:jc w:val="center"/>
            </w:pPr>
            <w:r>
              <w:t>100%</w:t>
            </w:r>
          </w:p>
        </w:tc>
        <w:tc>
          <w:tcPr>
            <w:tcW w:w="3285" w:type="dxa"/>
          </w:tcPr>
          <w:p w14:paraId="43914E11" w14:textId="77777777" w:rsidR="00BC49E5" w:rsidRDefault="00E25B51" w:rsidP="00BC49E5">
            <w:pPr>
              <w:jc w:val="center"/>
            </w:pPr>
            <w:r w:rsidRPr="008135E4">
              <w:t>5</w:t>
            </w:r>
            <w:r w:rsidR="00BC49E5" w:rsidRPr="008135E4">
              <w:t>0%</w:t>
            </w:r>
          </w:p>
        </w:tc>
      </w:tr>
    </w:tbl>
    <w:p w14:paraId="4124B837" w14:textId="77777777" w:rsidR="00BC49E5" w:rsidRDefault="00BC49E5" w:rsidP="0011409E"/>
    <w:p w14:paraId="38BBFBE2" w14:textId="77777777" w:rsidR="002059FB" w:rsidRDefault="002059FB" w:rsidP="002059FB">
      <w:pPr>
        <w:pStyle w:val="Subtitle"/>
      </w:pPr>
      <w:r>
        <w:t>Water Rate</w:t>
      </w:r>
    </w:p>
    <w:p w14:paraId="1EBAE824" w14:textId="77777777" w:rsidR="002059FB" w:rsidRDefault="002059FB" w:rsidP="0011409E">
      <w:r>
        <w:t xml:space="preserve">These rates recover the balance of the total net cost of the water supply systems after allowing for revenue collected from the Fire Protection Targeted Rate and the Water by Meter targeted rate. </w:t>
      </w:r>
    </w:p>
    <w:p w14:paraId="03687B28" w14:textId="77777777" w:rsidR="002059FB" w:rsidRDefault="002059FB" w:rsidP="0011409E">
      <w:r>
        <w:t xml:space="preserve">The targeted rates are differentially applied and are a fixed amount set on a </w:t>
      </w:r>
      <w:r w:rsidR="00126739">
        <w:t>uniform basis, applied to each S</w:t>
      </w:r>
      <w:r>
        <w:t xml:space="preserve">eparately </w:t>
      </w:r>
      <w:r w:rsidR="00126739">
        <w:t>Used or Inhabited Part of a Rating U</w:t>
      </w:r>
      <w:r>
        <w:t xml:space="preserve">nit connected to or able to be connected to, the Council’s water supply system. </w:t>
      </w:r>
    </w:p>
    <w:p w14:paraId="5A496B59" w14:textId="77777777" w:rsidR="002059FB" w:rsidRDefault="002059FB" w:rsidP="0011409E">
      <w:r>
        <w:lastRenderedPageBreak/>
        <w:t xml:space="preserve">The differential categories for the water rates are: </w:t>
      </w:r>
    </w:p>
    <w:p w14:paraId="4DA8098D" w14:textId="77777777" w:rsidR="002059FB" w:rsidRPr="002059FB" w:rsidRDefault="00126739" w:rsidP="002059FB">
      <w:pPr>
        <w:pStyle w:val="ListParagraph"/>
        <w:numPr>
          <w:ilvl w:val="0"/>
          <w:numId w:val="6"/>
        </w:numPr>
        <w:rPr>
          <w:b w:val="0"/>
          <w:sz w:val="21"/>
          <w:szCs w:val="21"/>
        </w:rPr>
      </w:pPr>
      <w:r>
        <w:rPr>
          <w:b w:val="0"/>
          <w:sz w:val="21"/>
          <w:szCs w:val="21"/>
        </w:rPr>
        <w:t>Connected – any R</w:t>
      </w:r>
      <w:r w:rsidR="002059FB" w:rsidRPr="002059FB">
        <w:rPr>
          <w:b w:val="0"/>
          <w:sz w:val="21"/>
          <w:szCs w:val="21"/>
        </w:rPr>
        <w:t>at</w:t>
      </w:r>
      <w:r>
        <w:rPr>
          <w:b w:val="0"/>
          <w:sz w:val="21"/>
          <w:szCs w:val="21"/>
        </w:rPr>
        <w:t>ing U</w:t>
      </w:r>
      <w:r w:rsidR="002059FB" w:rsidRPr="002059FB">
        <w:rPr>
          <w:b w:val="0"/>
          <w:sz w:val="21"/>
          <w:szCs w:val="21"/>
        </w:rPr>
        <w:t xml:space="preserve">nit that is connected to a Council system </w:t>
      </w:r>
    </w:p>
    <w:p w14:paraId="4283465B" w14:textId="77777777" w:rsidR="002059FB" w:rsidRPr="002059FB" w:rsidRDefault="00126739" w:rsidP="002059FB">
      <w:pPr>
        <w:pStyle w:val="ListParagraph"/>
        <w:numPr>
          <w:ilvl w:val="0"/>
          <w:numId w:val="6"/>
        </w:numPr>
        <w:rPr>
          <w:b w:val="0"/>
          <w:sz w:val="21"/>
          <w:szCs w:val="21"/>
        </w:rPr>
      </w:pPr>
      <w:r>
        <w:rPr>
          <w:b w:val="0"/>
          <w:sz w:val="21"/>
          <w:szCs w:val="21"/>
        </w:rPr>
        <w:t>Service available – any Rating U</w:t>
      </w:r>
      <w:r w:rsidR="002059FB" w:rsidRPr="002059FB">
        <w:rPr>
          <w:b w:val="0"/>
          <w:sz w:val="21"/>
          <w:szCs w:val="21"/>
        </w:rPr>
        <w:t xml:space="preserve">nit that is not connected to a Council system but is within 100 metres of such system (charged </w:t>
      </w:r>
      <w:r w:rsidR="001805C7">
        <w:rPr>
          <w:b w:val="0"/>
          <w:sz w:val="21"/>
          <w:szCs w:val="21"/>
        </w:rPr>
        <w:t>5</w:t>
      </w:r>
      <w:r w:rsidR="002059FB" w:rsidRPr="002059FB">
        <w:rPr>
          <w:b w:val="0"/>
          <w:sz w:val="21"/>
          <w:szCs w:val="21"/>
        </w:rPr>
        <w:t>0% of the targeted rate for connected properties)</w:t>
      </w:r>
    </w:p>
    <w:tbl>
      <w:tblPr>
        <w:tblStyle w:val="TableGrid"/>
        <w:tblW w:w="0" w:type="auto"/>
        <w:tblLook w:val="04A0" w:firstRow="1" w:lastRow="0" w:firstColumn="1" w:lastColumn="0" w:noHBand="0" w:noVBand="1"/>
      </w:tblPr>
      <w:tblGrid>
        <w:gridCol w:w="4536"/>
        <w:gridCol w:w="2694"/>
        <w:gridCol w:w="2624"/>
      </w:tblGrid>
      <w:tr w:rsidR="002059FB" w14:paraId="7308B6C1" w14:textId="77777777" w:rsidTr="001805C7">
        <w:tc>
          <w:tcPr>
            <w:tcW w:w="4536" w:type="dxa"/>
            <w:tcBorders>
              <w:top w:val="nil"/>
              <w:left w:val="nil"/>
              <w:bottom w:val="nil"/>
              <w:right w:val="nil"/>
            </w:tcBorders>
            <w:shd w:val="clear" w:color="auto" w:fill="00B0F0"/>
          </w:tcPr>
          <w:p w14:paraId="412EEC9F" w14:textId="77777777" w:rsidR="002059FB" w:rsidRPr="00BC49E5" w:rsidRDefault="002059FB" w:rsidP="00E84BC5">
            <w:pPr>
              <w:rPr>
                <w:color w:val="FFFFFF" w:themeColor="background1"/>
              </w:rPr>
            </w:pPr>
            <w:r w:rsidRPr="00BC49E5">
              <w:rPr>
                <w:color w:val="FFFFFF" w:themeColor="background1"/>
              </w:rPr>
              <w:t>Differentials</w:t>
            </w:r>
          </w:p>
        </w:tc>
        <w:tc>
          <w:tcPr>
            <w:tcW w:w="2694" w:type="dxa"/>
            <w:tcBorders>
              <w:top w:val="nil"/>
              <w:left w:val="nil"/>
              <w:bottom w:val="nil"/>
              <w:right w:val="nil"/>
            </w:tcBorders>
            <w:shd w:val="clear" w:color="auto" w:fill="00B0F0"/>
          </w:tcPr>
          <w:p w14:paraId="40386841" w14:textId="77777777" w:rsidR="002059FB" w:rsidRPr="00BC49E5" w:rsidRDefault="002059FB" w:rsidP="008A7469">
            <w:pPr>
              <w:jc w:val="center"/>
              <w:rPr>
                <w:color w:val="FFFFFF" w:themeColor="background1"/>
              </w:rPr>
            </w:pPr>
            <w:r w:rsidRPr="00BC49E5">
              <w:rPr>
                <w:color w:val="FFFFFF" w:themeColor="background1"/>
              </w:rPr>
              <w:t>Connected (%)</w:t>
            </w:r>
          </w:p>
        </w:tc>
        <w:tc>
          <w:tcPr>
            <w:tcW w:w="2624" w:type="dxa"/>
            <w:tcBorders>
              <w:top w:val="nil"/>
              <w:left w:val="nil"/>
              <w:bottom w:val="nil"/>
              <w:right w:val="nil"/>
            </w:tcBorders>
            <w:shd w:val="clear" w:color="auto" w:fill="00B0F0"/>
          </w:tcPr>
          <w:p w14:paraId="4F044CF2" w14:textId="77777777" w:rsidR="002059FB" w:rsidRPr="00BC49E5" w:rsidRDefault="002059FB" w:rsidP="00E84BC5">
            <w:pPr>
              <w:rPr>
                <w:color w:val="FFFFFF" w:themeColor="background1"/>
              </w:rPr>
            </w:pPr>
            <w:r w:rsidRPr="00BC49E5">
              <w:rPr>
                <w:color w:val="FFFFFF" w:themeColor="background1"/>
              </w:rPr>
              <w:t>Not connected but within 100m (%)</w:t>
            </w:r>
          </w:p>
        </w:tc>
      </w:tr>
      <w:tr w:rsidR="002059FB" w14:paraId="1DE2A4A8" w14:textId="77777777" w:rsidTr="001805C7">
        <w:tc>
          <w:tcPr>
            <w:tcW w:w="4536" w:type="dxa"/>
            <w:tcBorders>
              <w:top w:val="nil"/>
            </w:tcBorders>
          </w:tcPr>
          <w:p w14:paraId="3057F7F6" w14:textId="77777777" w:rsidR="002059FB" w:rsidRPr="00BC49E5" w:rsidRDefault="008A7469" w:rsidP="001805C7">
            <w:pPr>
              <w:rPr>
                <w:sz w:val="18"/>
                <w:szCs w:val="18"/>
              </w:rPr>
            </w:pPr>
            <w:r>
              <w:t xml:space="preserve">Rating Units connected to or able to be </w:t>
            </w:r>
            <w:r w:rsidR="00E25B51">
              <w:t>connected to the C</w:t>
            </w:r>
            <w:r w:rsidR="001805C7">
              <w:t>ouncil water supply s</w:t>
            </w:r>
            <w:r>
              <w:t>ystems</w:t>
            </w:r>
          </w:p>
        </w:tc>
        <w:tc>
          <w:tcPr>
            <w:tcW w:w="2694" w:type="dxa"/>
            <w:tcBorders>
              <w:top w:val="nil"/>
            </w:tcBorders>
          </w:tcPr>
          <w:p w14:paraId="39D056EF" w14:textId="77777777" w:rsidR="001805C7" w:rsidRPr="001805C7" w:rsidRDefault="001805C7" w:rsidP="00E84BC5">
            <w:pPr>
              <w:jc w:val="center"/>
              <w:rPr>
                <w:sz w:val="8"/>
                <w:szCs w:val="8"/>
              </w:rPr>
            </w:pPr>
          </w:p>
          <w:p w14:paraId="08A3DC01" w14:textId="77777777" w:rsidR="002059FB" w:rsidRDefault="008A7469" w:rsidP="00E84BC5">
            <w:pPr>
              <w:jc w:val="center"/>
            </w:pPr>
            <w:r>
              <w:t>1</w:t>
            </w:r>
            <w:r w:rsidR="002059FB">
              <w:t>00%</w:t>
            </w:r>
          </w:p>
        </w:tc>
        <w:tc>
          <w:tcPr>
            <w:tcW w:w="2624" w:type="dxa"/>
            <w:tcBorders>
              <w:top w:val="nil"/>
            </w:tcBorders>
          </w:tcPr>
          <w:p w14:paraId="113BC94A" w14:textId="77777777" w:rsidR="008A7469" w:rsidRPr="001805C7" w:rsidRDefault="008A7469" w:rsidP="00E84BC5">
            <w:pPr>
              <w:jc w:val="center"/>
              <w:rPr>
                <w:sz w:val="8"/>
                <w:szCs w:val="8"/>
              </w:rPr>
            </w:pPr>
          </w:p>
          <w:p w14:paraId="3DA5D4D4" w14:textId="77777777" w:rsidR="002059FB" w:rsidRDefault="00E25B51" w:rsidP="00E84BC5">
            <w:pPr>
              <w:jc w:val="center"/>
            </w:pPr>
            <w:r>
              <w:t>5</w:t>
            </w:r>
            <w:r w:rsidR="002059FB">
              <w:t>0%</w:t>
            </w:r>
          </w:p>
        </w:tc>
      </w:tr>
    </w:tbl>
    <w:p w14:paraId="1AD37A21" w14:textId="4D3C48E6" w:rsidR="002059FB" w:rsidRDefault="002059FB" w:rsidP="0011409E"/>
    <w:p w14:paraId="3519CF27" w14:textId="77777777" w:rsidR="00600621" w:rsidRDefault="00600621" w:rsidP="00600621">
      <w:pPr>
        <w:pStyle w:val="Subtitle"/>
      </w:pPr>
      <w:r>
        <w:t>Stormwater Rate</w:t>
      </w:r>
    </w:p>
    <w:p w14:paraId="3A2CCCBB" w14:textId="77777777" w:rsidR="00600621" w:rsidRDefault="00600621" w:rsidP="00600621">
      <w:r w:rsidRPr="00C27034">
        <w:rPr>
          <w:lang w:val="en-US"/>
        </w:rPr>
        <w:t xml:space="preserve">The primary </w:t>
      </w:r>
      <w:r>
        <w:rPr>
          <w:lang w:val="en-US"/>
        </w:rPr>
        <w:t>beneficiary</w:t>
      </w:r>
      <w:r w:rsidRPr="00C27034">
        <w:rPr>
          <w:lang w:val="en-US"/>
        </w:rPr>
        <w:t xml:space="preserve"> of storm</w:t>
      </w:r>
      <w:r>
        <w:rPr>
          <w:lang w:val="en-US"/>
        </w:rPr>
        <w:t xml:space="preserve"> </w:t>
      </w:r>
      <w:r w:rsidRPr="00C27034">
        <w:rPr>
          <w:lang w:val="en-US"/>
        </w:rPr>
        <w:t xml:space="preserve">water </w:t>
      </w:r>
      <w:r>
        <w:rPr>
          <w:lang w:val="en-US"/>
        </w:rPr>
        <w:t xml:space="preserve">assets </w:t>
      </w:r>
      <w:r w:rsidRPr="00C27034">
        <w:rPr>
          <w:lang w:val="en-US"/>
        </w:rPr>
        <w:t>are those properties that have a hard surface</w:t>
      </w:r>
      <w:r>
        <w:rPr>
          <w:lang w:val="en-US"/>
        </w:rPr>
        <w:t>.</w:t>
      </w:r>
      <w:r w:rsidRPr="00C27034">
        <w:rPr>
          <w:lang w:val="en-US"/>
        </w:rPr>
        <w:t xml:space="preserve"> </w:t>
      </w:r>
      <w:r>
        <w:rPr>
          <w:lang w:val="en-US"/>
        </w:rPr>
        <w:t>T</w:t>
      </w:r>
      <w:r w:rsidRPr="00C27034">
        <w:rPr>
          <w:lang w:val="en-US"/>
        </w:rPr>
        <w:t xml:space="preserve">here is </w:t>
      </w:r>
      <w:r>
        <w:rPr>
          <w:lang w:val="en-US"/>
        </w:rPr>
        <w:t>a strong relationship between Capital V</w:t>
      </w:r>
      <w:r w:rsidRPr="00C27034">
        <w:rPr>
          <w:lang w:val="en-US"/>
        </w:rPr>
        <w:t>alue and the hard surface area of a property.</w:t>
      </w:r>
    </w:p>
    <w:p w14:paraId="63B6F94C" w14:textId="77777777" w:rsidR="00600621" w:rsidRDefault="00600621" w:rsidP="00600621">
      <w:r>
        <w:t>This rate recovers the cost of storm water asset management. The Stormwater Rate is based on the Capital Value of Residential and Commercial &amp; Industrial properties within the recognised urban limit (i.e. non-rural property as defined under the District Plan).</w:t>
      </w:r>
    </w:p>
    <w:p w14:paraId="7D86D0DE" w14:textId="77777777" w:rsidR="00600621" w:rsidRDefault="00600621" w:rsidP="00600621">
      <w:r>
        <w:t>Rural properties are exempted.</w:t>
      </w:r>
    </w:p>
    <w:p w14:paraId="3807C2F2" w14:textId="77777777" w:rsidR="00600621" w:rsidRDefault="00600621" w:rsidP="00600621">
      <w:r>
        <w:t xml:space="preserve">The differential categories for Stormwater Rates are: </w:t>
      </w:r>
    </w:p>
    <w:tbl>
      <w:tblPr>
        <w:tblW w:w="9923" w:type="dxa"/>
        <w:tblLook w:val="04A0" w:firstRow="1" w:lastRow="0" w:firstColumn="1" w:lastColumn="0" w:noHBand="0" w:noVBand="1"/>
      </w:tblPr>
      <w:tblGrid>
        <w:gridCol w:w="5103"/>
        <w:gridCol w:w="4820"/>
      </w:tblGrid>
      <w:tr w:rsidR="00600621" w:rsidRPr="00251B6D" w14:paraId="4D73B97C" w14:textId="77777777" w:rsidTr="00600621">
        <w:trPr>
          <w:trHeight w:val="600"/>
        </w:trPr>
        <w:tc>
          <w:tcPr>
            <w:tcW w:w="5103" w:type="dxa"/>
            <w:tcBorders>
              <w:top w:val="nil"/>
              <w:bottom w:val="single" w:sz="4" w:space="0" w:color="00B0F0"/>
              <w:right w:val="single" w:sz="4" w:space="0" w:color="FFFFFF" w:themeColor="background1"/>
            </w:tcBorders>
            <w:shd w:val="clear" w:color="auto" w:fill="00B0F0"/>
            <w:vAlign w:val="bottom"/>
            <w:hideMark/>
          </w:tcPr>
          <w:p w14:paraId="1CCE7FC7" w14:textId="77777777" w:rsidR="00600621" w:rsidRPr="00251B6D" w:rsidRDefault="00600621" w:rsidP="00D14A43">
            <w:pPr>
              <w:spacing w:line="240" w:lineRule="auto"/>
              <w:jc w:val="left"/>
              <w:rPr>
                <w:rFonts w:ascii="Calibri" w:eastAsia="Times New Roman" w:hAnsi="Calibri" w:cs="Calibri"/>
                <w:b/>
                <w:color w:val="FFFFFF" w:themeColor="background1"/>
                <w:sz w:val="22"/>
                <w:szCs w:val="22"/>
                <w:lang w:eastAsia="en-NZ"/>
              </w:rPr>
            </w:pPr>
            <w:r w:rsidRPr="00251B6D">
              <w:rPr>
                <w:rFonts w:ascii="Calibri" w:eastAsia="Times New Roman" w:hAnsi="Calibri" w:cs="Calibri"/>
                <w:b/>
                <w:color w:val="FFFFFF" w:themeColor="background1"/>
                <w:sz w:val="22"/>
                <w:szCs w:val="22"/>
                <w:lang w:eastAsia="en-NZ"/>
              </w:rPr>
              <w:t>Differentials</w:t>
            </w:r>
          </w:p>
        </w:tc>
        <w:tc>
          <w:tcPr>
            <w:tcW w:w="4820" w:type="dxa"/>
            <w:tcBorders>
              <w:top w:val="nil"/>
              <w:left w:val="single" w:sz="4" w:space="0" w:color="FFFFFF" w:themeColor="background1"/>
              <w:bottom w:val="single" w:sz="4" w:space="0" w:color="00B0F0"/>
              <w:right w:val="single" w:sz="4" w:space="0" w:color="FFFFFF" w:themeColor="background1"/>
            </w:tcBorders>
            <w:shd w:val="clear" w:color="auto" w:fill="00B0F0"/>
          </w:tcPr>
          <w:p w14:paraId="3908C22C" w14:textId="77777777" w:rsidR="00600621" w:rsidRPr="00251B6D" w:rsidRDefault="00600621" w:rsidP="00D14A43">
            <w:pPr>
              <w:spacing w:line="240" w:lineRule="auto"/>
              <w:jc w:val="center"/>
              <w:rPr>
                <w:rFonts w:ascii="Calibri" w:eastAsia="Times New Roman" w:hAnsi="Calibri" w:cs="Calibri"/>
                <w:b/>
                <w:color w:val="FFFFFF" w:themeColor="background1"/>
                <w:sz w:val="22"/>
                <w:szCs w:val="22"/>
                <w:lang w:eastAsia="en-NZ"/>
              </w:rPr>
            </w:pPr>
            <w:r>
              <w:rPr>
                <w:rFonts w:ascii="Calibri" w:eastAsia="Times New Roman" w:hAnsi="Calibri" w:cs="Calibri"/>
                <w:b/>
                <w:color w:val="FFFFFF" w:themeColor="background1"/>
                <w:sz w:val="22"/>
                <w:szCs w:val="22"/>
                <w:lang w:eastAsia="en-NZ"/>
              </w:rPr>
              <w:t>Differential Rate within urban limits</w:t>
            </w:r>
          </w:p>
        </w:tc>
      </w:tr>
      <w:tr w:rsidR="00600621" w:rsidRPr="000A07D8" w14:paraId="6DA4C795" w14:textId="77777777" w:rsidTr="00600621">
        <w:trPr>
          <w:trHeight w:val="600"/>
        </w:trPr>
        <w:tc>
          <w:tcPr>
            <w:tcW w:w="5103"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6B9FA42F" w14:textId="77777777" w:rsidR="00600621" w:rsidRPr="000A07D8" w:rsidRDefault="00600621" w:rsidP="00D14A43">
            <w:pPr>
              <w:spacing w:line="240" w:lineRule="auto"/>
              <w:rPr>
                <w:rFonts w:ascii="Calibri" w:eastAsia="Times New Roman" w:hAnsi="Calibri" w:cs="Calibri"/>
                <w:color w:val="000000"/>
                <w:sz w:val="22"/>
                <w:szCs w:val="22"/>
                <w:lang w:eastAsia="en-NZ"/>
              </w:rPr>
            </w:pPr>
            <w:r w:rsidRPr="000A07D8">
              <w:rPr>
                <w:rFonts w:ascii="Calibri" w:eastAsia="Times New Roman" w:hAnsi="Calibri" w:cs="Calibri"/>
                <w:color w:val="000000"/>
                <w:sz w:val="22"/>
                <w:szCs w:val="22"/>
                <w:lang w:eastAsia="en-NZ"/>
              </w:rPr>
              <w:t>Residential / Other</w:t>
            </w:r>
          </w:p>
        </w:tc>
        <w:tc>
          <w:tcPr>
            <w:tcW w:w="4820" w:type="dxa"/>
            <w:tcBorders>
              <w:top w:val="single" w:sz="4" w:space="0" w:color="00B0F0"/>
              <w:left w:val="single" w:sz="4" w:space="0" w:color="00B0F0"/>
              <w:bottom w:val="single" w:sz="4" w:space="0" w:color="00B0F0"/>
              <w:right w:val="single" w:sz="4" w:space="0" w:color="00B0F0"/>
            </w:tcBorders>
            <w:vAlign w:val="bottom"/>
          </w:tcPr>
          <w:p w14:paraId="666A8C9E" w14:textId="77777777" w:rsidR="00600621" w:rsidRPr="000A07D8" w:rsidRDefault="00600621" w:rsidP="00D14A43">
            <w:pPr>
              <w:spacing w:line="240" w:lineRule="auto"/>
              <w:jc w:val="center"/>
              <w:rPr>
                <w:rFonts w:ascii="Calibri" w:eastAsia="Times New Roman" w:hAnsi="Calibri" w:cs="Calibri"/>
                <w:color w:val="000000"/>
                <w:sz w:val="22"/>
                <w:szCs w:val="22"/>
                <w:lang w:eastAsia="en-NZ"/>
              </w:rPr>
            </w:pPr>
            <w:r w:rsidRPr="000A07D8">
              <w:rPr>
                <w:rFonts w:ascii="Calibri" w:eastAsia="Times New Roman" w:hAnsi="Calibri" w:cs="Calibri"/>
                <w:color w:val="000000"/>
                <w:sz w:val="22"/>
                <w:szCs w:val="22"/>
                <w:lang w:eastAsia="en-NZ"/>
              </w:rPr>
              <w:t>100%</w:t>
            </w:r>
          </w:p>
        </w:tc>
      </w:tr>
      <w:tr w:rsidR="00600621" w:rsidRPr="000A07D8" w14:paraId="696D4F6C" w14:textId="77777777" w:rsidTr="00600621">
        <w:trPr>
          <w:trHeight w:val="600"/>
        </w:trPr>
        <w:tc>
          <w:tcPr>
            <w:tcW w:w="5103" w:type="dxa"/>
            <w:tcBorders>
              <w:top w:val="single" w:sz="4" w:space="0" w:color="00B0F0"/>
              <w:left w:val="single" w:sz="4" w:space="0" w:color="00B0F0"/>
              <w:bottom w:val="single" w:sz="4" w:space="0" w:color="00B0F0"/>
              <w:right w:val="single" w:sz="4" w:space="0" w:color="00B0F0"/>
            </w:tcBorders>
            <w:shd w:val="clear" w:color="auto" w:fill="auto"/>
            <w:vAlign w:val="bottom"/>
            <w:hideMark/>
          </w:tcPr>
          <w:p w14:paraId="6589A147" w14:textId="77777777" w:rsidR="00600621" w:rsidRPr="00600621" w:rsidRDefault="00600621" w:rsidP="00D14A43">
            <w:pPr>
              <w:spacing w:line="240" w:lineRule="auto"/>
              <w:rPr>
                <w:rFonts w:ascii="Calibri" w:eastAsia="Times New Roman" w:hAnsi="Calibri" w:cs="Calibri"/>
                <w:color w:val="000000"/>
                <w:sz w:val="22"/>
                <w:szCs w:val="22"/>
                <w:lang w:eastAsia="en-NZ"/>
              </w:rPr>
            </w:pPr>
            <w:r w:rsidRPr="00600621">
              <w:rPr>
                <w:rFonts w:ascii="Calibri" w:eastAsia="Times New Roman" w:hAnsi="Calibri" w:cs="Calibri"/>
                <w:color w:val="000000"/>
                <w:sz w:val="22"/>
                <w:szCs w:val="22"/>
                <w:lang w:eastAsia="en-NZ"/>
              </w:rPr>
              <w:t>Commercial &amp; Industrial</w:t>
            </w:r>
          </w:p>
        </w:tc>
        <w:tc>
          <w:tcPr>
            <w:tcW w:w="4820" w:type="dxa"/>
            <w:tcBorders>
              <w:top w:val="single" w:sz="4" w:space="0" w:color="00B0F0"/>
              <w:left w:val="single" w:sz="4" w:space="0" w:color="00B0F0"/>
              <w:bottom w:val="single" w:sz="4" w:space="0" w:color="00B0F0"/>
              <w:right w:val="single" w:sz="4" w:space="0" w:color="00B0F0"/>
            </w:tcBorders>
            <w:vAlign w:val="bottom"/>
          </w:tcPr>
          <w:p w14:paraId="6BFD0E43" w14:textId="3197663B" w:rsidR="00600621" w:rsidRPr="008135E4" w:rsidRDefault="00600621" w:rsidP="00600621">
            <w:pPr>
              <w:spacing w:line="240" w:lineRule="auto"/>
              <w:jc w:val="center"/>
              <w:rPr>
                <w:rFonts w:ascii="Calibri" w:eastAsia="Times New Roman" w:hAnsi="Calibri" w:cs="Calibri"/>
                <w:color w:val="000000"/>
                <w:sz w:val="22"/>
                <w:szCs w:val="22"/>
                <w:lang w:eastAsia="en-NZ"/>
              </w:rPr>
            </w:pPr>
            <w:r w:rsidRPr="008135E4">
              <w:rPr>
                <w:rFonts w:ascii="Calibri" w:eastAsia="Times New Roman" w:hAnsi="Calibri" w:cs="Calibri"/>
                <w:color w:val="000000"/>
                <w:sz w:val="22"/>
                <w:szCs w:val="22"/>
                <w:lang w:eastAsia="en-NZ"/>
              </w:rPr>
              <w:t>250%</w:t>
            </w:r>
          </w:p>
        </w:tc>
      </w:tr>
      <w:tr w:rsidR="00600621" w:rsidRPr="000A07D8" w14:paraId="0891CA8A" w14:textId="77777777" w:rsidTr="00600621">
        <w:trPr>
          <w:trHeight w:val="375"/>
        </w:trPr>
        <w:tc>
          <w:tcPr>
            <w:tcW w:w="5103" w:type="dxa"/>
            <w:tcBorders>
              <w:top w:val="single" w:sz="4" w:space="0" w:color="00B0F0"/>
              <w:left w:val="single" w:sz="4" w:space="0" w:color="00B0F0"/>
              <w:bottom w:val="single" w:sz="4" w:space="0" w:color="00B0F0"/>
              <w:right w:val="single" w:sz="4" w:space="0" w:color="00B0F0"/>
            </w:tcBorders>
            <w:shd w:val="clear" w:color="auto" w:fill="auto"/>
            <w:noWrap/>
            <w:vAlign w:val="bottom"/>
            <w:hideMark/>
          </w:tcPr>
          <w:p w14:paraId="218CC5E4" w14:textId="77777777" w:rsidR="00600621" w:rsidRPr="00600621" w:rsidRDefault="00600621" w:rsidP="00D14A43">
            <w:pPr>
              <w:spacing w:line="240" w:lineRule="auto"/>
              <w:rPr>
                <w:rFonts w:ascii="Calibri" w:eastAsia="Times New Roman" w:hAnsi="Calibri" w:cs="Calibri"/>
                <w:color w:val="000000"/>
                <w:sz w:val="22"/>
                <w:szCs w:val="22"/>
                <w:lang w:eastAsia="en-NZ"/>
              </w:rPr>
            </w:pPr>
            <w:r w:rsidRPr="00600621">
              <w:rPr>
                <w:rFonts w:ascii="Calibri" w:eastAsia="Times New Roman" w:hAnsi="Calibri" w:cs="Calibri"/>
                <w:color w:val="000000"/>
                <w:sz w:val="22"/>
                <w:szCs w:val="22"/>
                <w:lang w:eastAsia="en-NZ"/>
              </w:rPr>
              <w:t>Rural Residential</w:t>
            </w:r>
          </w:p>
        </w:tc>
        <w:tc>
          <w:tcPr>
            <w:tcW w:w="4820" w:type="dxa"/>
            <w:tcBorders>
              <w:top w:val="single" w:sz="4" w:space="0" w:color="00B0F0"/>
              <w:left w:val="single" w:sz="4" w:space="0" w:color="00B0F0"/>
              <w:bottom w:val="single" w:sz="4" w:space="0" w:color="00B0F0"/>
              <w:right w:val="single" w:sz="4" w:space="0" w:color="00B0F0"/>
            </w:tcBorders>
            <w:vAlign w:val="bottom"/>
          </w:tcPr>
          <w:p w14:paraId="309085A2" w14:textId="0A3BBC12" w:rsidR="00600621" w:rsidRPr="008135E4" w:rsidRDefault="00600621" w:rsidP="00D14A43">
            <w:pPr>
              <w:spacing w:line="240" w:lineRule="auto"/>
              <w:jc w:val="center"/>
              <w:rPr>
                <w:rFonts w:ascii="Calibri" w:eastAsia="Times New Roman" w:hAnsi="Calibri" w:cs="Calibri"/>
                <w:color w:val="000000"/>
                <w:sz w:val="22"/>
                <w:szCs w:val="22"/>
                <w:lang w:eastAsia="en-NZ"/>
              </w:rPr>
            </w:pPr>
            <w:r w:rsidRPr="008135E4">
              <w:rPr>
                <w:rFonts w:ascii="Calibri" w:eastAsia="Times New Roman" w:hAnsi="Calibri" w:cs="Calibri"/>
                <w:color w:val="000000"/>
                <w:sz w:val="22"/>
                <w:szCs w:val="22"/>
                <w:lang w:eastAsia="en-NZ"/>
              </w:rPr>
              <w:t>100%</w:t>
            </w:r>
          </w:p>
        </w:tc>
      </w:tr>
    </w:tbl>
    <w:p w14:paraId="6D61ABE3" w14:textId="77777777" w:rsidR="00600621" w:rsidRDefault="00600621" w:rsidP="00600621"/>
    <w:p w14:paraId="75D4431B" w14:textId="77777777" w:rsidR="00600621" w:rsidRPr="00036DD4" w:rsidRDefault="00600621" w:rsidP="00600621">
      <w:pPr>
        <w:pStyle w:val="Subtitle"/>
      </w:pPr>
      <w:r w:rsidRPr="00036DD4">
        <w:t>Sewerage Rate</w:t>
      </w:r>
    </w:p>
    <w:p w14:paraId="6B1F49E8" w14:textId="77777777" w:rsidR="00600621" w:rsidRPr="001805C7" w:rsidRDefault="00600621" w:rsidP="00600621">
      <w:r w:rsidRPr="001805C7">
        <w:t>This rate recovers the net cost of the waste water activity.</w:t>
      </w:r>
    </w:p>
    <w:p w14:paraId="2A634716" w14:textId="02D7128D" w:rsidR="00600621" w:rsidRPr="001805C7" w:rsidRDefault="00600621" w:rsidP="00600621">
      <w:r w:rsidRPr="001805C7">
        <w:t>The Sewerage targeted rate is applied differentially as a fixed amount</w:t>
      </w:r>
      <w:r>
        <w:t xml:space="preserve"> and is set on a uniform basis.</w:t>
      </w:r>
      <w:r w:rsidRPr="001805C7">
        <w:t xml:space="preserve"> It is applied to each separately used or inhabited part of a rating unit connected to, or able to be connected to, the Sewerage System.</w:t>
      </w:r>
    </w:p>
    <w:p w14:paraId="3DAAEFEF" w14:textId="77777777" w:rsidR="00600621" w:rsidRPr="001805C7" w:rsidRDefault="00600621" w:rsidP="00600621">
      <w:r w:rsidRPr="001805C7">
        <w:t xml:space="preserve">A differential of </w:t>
      </w:r>
      <w:r>
        <w:t>5</w:t>
      </w:r>
      <w:r w:rsidRPr="001805C7">
        <w:t>0% of the rate applies to each rating unit not connected but located within 30 metres of the system.</w:t>
      </w:r>
    </w:p>
    <w:tbl>
      <w:tblPr>
        <w:tblW w:w="9923" w:type="dxa"/>
        <w:tblInd w:w="-5" w:type="dxa"/>
        <w:tblBorders>
          <w:top w:val="single" w:sz="4" w:space="0" w:color="43B4E3" w:themeColor="text2"/>
          <w:left w:val="single" w:sz="4" w:space="0" w:color="43B4E3" w:themeColor="text2"/>
          <w:bottom w:val="single" w:sz="4" w:space="0" w:color="43B4E3" w:themeColor="text2"/>
          <w:right w:val="single" w:sz="4" w:space="0" w:color="43B4E3" w:themeColor="text2"/>
          <w:insideH w:val="single" w:sz="4" w:space="0" w:color="43B4E3" w:themeColor="text2"/>
          <w:insideV w:val="single" w:sz="4" w:space="0" w:color="43B4E3" w:themeColor="text2"/>
        </w:tblBorders>
        <w:tblLayout w:type="fixed"/>
        <w:tblCellMar>
          <w:left w:w="0" w:type="dxa"/>
          <w:right w:w="0" w:type="dxa"/>
        </w:tblCellMar>
        <w:tblLook w:val="0000" w:firstRow="0" w:lastRow="0" w:firstColumn="0" w:lastColumn="0" w:noHBand="0" w:noVBand="0"/>
      </w:tblPr>
      <w:tblGrid>
        <w:gridCol w:w="5670"/>
        <w:gridCol w:w="2127"/>
        <w:gridCol w:w="2126"/>
      </w:tblGrid>
      <w:tr w:rsidR="00600621" w:rsidRPr="00ED67D2" w14:paraId="6D5E8729" w14:textId="77777777" w:rsidTr="00D14A43">
        <w:trPr>
          <w:trHeight w:val="337"/>
        </w:trPr>
        <w:tc>
          <w:tcPr>
            <w:tcW w:w="5670" w:type="dxa"/>
            <w:tcBorders>
              <w:right w:val="single" w:sz="4" w:space="0" w:color="FFFFFF" w:themeColor="background1"/>
            </w:tcBorders>
            <w:shd w:val="solid" w:color="43B4E4" w:fill="auto"/>
            <w:tcMar>
              <w:top w:w="80" w:type="dxa"/>
              <w:left w:w="0" w:type="dxa"/>
              <w:bottom w:w="80" w:type="dxa"/>
              <w:right w:w="0" w:type="dxa"/>
            </w:tcMar>
            <w:vAlign w:val="center"/>
          </w:tcPr>
          <w:p w14:paraId="61C36E9A" w14:textId="77777777" w:rsidR="00600621" w:rsidRPr="001805C7" w:rsidRDefault="00600621" w:rsidP="00D14A43">
            <w:pPr>
              <w:pStyle w:val="BodyText-1"/>
              <w:spacing w:before="60" w:after="60" w:line="240" w:lineRule="auto"/>
              <w:ind w:left="57" w:right="57"/>
              <w:jc w:val="left"/>
              <w:rPr>
                <w:color w:val="FFFFFF" w:themeColor="background1"/>
                <w:sz w:val="21"/>
                <w:szCs w:val="21"/>
                <w:lang w:val="en-GB" w:eastAsia="en-NZ"/>
              </w:rPr>
            </w:pPr>
            <w:r w:rsidRPr="001805C7">
              <w:rPr>
                <w:color w:val="FFFFFF" w:themeColor="background1"/>
                <w:sz w:val="21"/>
                <w:szCs w:val="21"/>
                <w:lang w:val="en-GB" w:eastAsia="en-NZ"/>
              </w:rPr>
              <w:t>Differentials</w:t>
            </w:r>
          </w:p>
        </w:tc>
        <w:tc>
          <w:tcPr>
            <w:tcW w:w="2127" w:type="dxa"/>
            <w:tcBorders>
              <w:left w:val="single" w:sz="4" w:space="0" w:color="FFFFFF" w:themeColor="background1"/>
              <w:right w:val="single" w:sz="4" w:space="0" w:color="FFFFFF" w:themeColor="background1"/>
            </w:tcBorders>
            <w:shd w:val="solid" w:color="43B4E4" w:fill="auto"/>
            <w:tcMar>
              <w:top w:w="80" w:type="dxa"/>
              <w:left w:w="0" w:type="dxa"/>
              <w:bottom w:w="80" w:type="dxa"/>
              <w:right w:w="0" w:type="dxa"/>
            </w:tcMar>
            <w:vAlign w:val="center"/>
          </w:tcPr>
          <w:p w14:paraId="2176EE6D" w14:textId="77777777" w:rsidR="00600621" w:rsidRPr="001805C7" w:rsidRDefault="00600621" w:rsidP="00D14A43">
            <w:pPr>
              <w:pStyle w:val="BodyText-1"/>
              <w:spacing w:before="60" w:after="60" w:line="240" w:lineRule="auto"/>
              <w:ind w:left="57" w:right="57"/>
              <w:jc w:val="center"/>
              <w:rPr>
                <w:color w:val="FFFFFF" w:themeColor="background1"/>
                <w:sz w:val="21"/>
                <w:szCs w:val="21"/>
                <w:lang w:val="en-GB" w:eastAsia="en-NZ"/>
              </w:rPr>
            </w:pPr>
            <w:r w:rsidRPr="001805C7">
              <w:rPr>
                <w:bCs/>
                <w:color w:val="FFFFFF" w:themeColor="background1"/>
                <w:sz w:val="21"/>
                <w:szCs w:val="21"/>
                <w:lang w:val="en-GB" w:eastAsia="en-NZ"/>
              </w:rPr>
              <w:t>Connected (%)</w:t>
            </w:r>
          </w:p>
        </w:tc>
        <w:tc>
          <w:tcPr>
            <w:tcW w:w="2126" w:type="dxa"/>
            <w:tcBorders>
              <w:left w:val="single" w:sz="4" w:space="0" w:color="FFFFFF" w:themeColor="background1"/>
              <w:right w:val="single" w:sz="4" w:space="0" w:color="D8D8D8" w:themeColor="accent5"/>
            </w:tcBorders>
            <w:shd w:val="solid" w:color="43B4E4" w:fill="auto"/>
            <w:vAlign w:val="center"/>
          </w:tcPr>
          <w:p w14:paraId="6AA59553" w14:textId="77777777" w:rsidR="00600621" w:rsidRPr="001805C7" w:rsidRDefault="00600621" w:rsidP="00D14A43">
            <w:pPr>
              <w:pStyle w:val="BodyText-1"/>
              <w:spacing w:before="60" w:after="60" w:line="240" w:lineRule="auto"/>
              <w:ind w:left="57" w:right="57"/>
              <w:jc w:val="center"/>
              <w:rPr>
                <w:bCs/>
                <w:color w:val="FFFFFF" w:themeColor="background1"/>
                <w:sz w:val="21"/>
                <w:szCs w:val="21"/>
                <w:lang w:val="en-GB" w:eastAsia="en-NZ"/>
              </w:rPr>
            </w:pPr>
            <w:r w:rsidRPr="001805C7">
              <w:rPr>
                <w:bCs/>
                <w:color w:val="FFFFFF" w:themeColor="background1"/>
                <w:sz w:val="21"/>
                <w:szCs w:val="21"/>
                <w:lang w:val="en-GB" w:eastAsia="en-NZ"/>
              </w:rPr>
              <w:t>Not connected but within 30m (%)</w:t>
            </w:r>
          </w:p>
        </w:tc>
      </w:tr>
      <w:tr w:rsidR="00600621" w:rsidRPr="000255C1" w14:paraId="2EFF0097" w14:textId="77777777" w:rsidTr="00D14A43">
        <w:trPr>
          <w:trHeight w:val="283"/>
        </w:trPr>
        <w:tc>
          <w:tcPr>
            <w:tcW w:w="5670" w:type="dxa"/>
            <w:tcMar>
              <w:top w:w="80" w:type="dxa"/>
              <w:left w:w="0" w:type="dxa"/>
              <w:bottom w:w="80" w:type="dxa"/>
              <w:right w:w="0" w:type="dxa"/>
            </w:tcMar>
            <w:vAlign w:val="center"/>
          </w:tcPr>
          <w:p w14:paraId="5E743351" w14:textId="77777777" w:rsidR="00600621" w:rsidRPr="001805C7" w:rsidRDefault="00600621" w:rsidP="00D14A43">
            <w:pPr>
              <w:pStyle w:val="BodyText-1"/>
              <w:spacing w:before="60" w:after="60" w:line="240" w:lineRule="auto"/>
              <w:ind w:left="57" w:right="57"/>
              <w:jc w:val="left"/>
              <w:rPr>
                <w:color w:val="323E47"/>
                <w:sz w:val="21"/>
                <w:szCs w:val="21"/>
                <w:lang w:val="en-GB" w:eastAsia="en-NZ"/>
              </w:rPr>
            </w:pPr>
            <w:r w:rsidRPr="001805C7">
              <w:rPr>
                <w:color w:val="323E47"/>
                <w:sz w:val="21"/>
                <w:szCs w:val="21"/>
                <w:lang w:val="en-GB" w:eastAsia="en-NZ"/>
              </w:rPr>
              <w:t xml:space="preserve">Rating units connected to or able to be connected to the City Sewerage Systems </w:t>
            </w:r>
          </w:p>
        </w:tc>
        <w:tc>
          <w:tcPr>
            <w:tcW w:w="2127" w:type="dxa"/>
            <w:tcMar>
              <w:top w:w="80" w:type="dxa"/>
              <w:left w:w="0" w:type="dxa"/>
              <w:bottom w:w="80" w:type="dxa"/>
              <w:right w:w="0" w:type="dxa"/>
            </w:tcMar>
            <w:vAlign w:val="center"/>
          </w:tcPr>
          <w:p w14:paraId="2AE19B58" w14:textId="77777777" w:rsidR="00600621" w:rsidRPr="001805C7" w:rsidRDefault="00600621" w:rsidP="00D14A43">
            <w:pPr>
              <w:pStyle w:val="BodyText-1"/>
              <w:spacing w:before="60" w:after="60" w:line="240" w:lineRule="auto"/>
              <w:ind w:left="57" w:right="57"/>
              <w:jc w:val="center"/>
              <w:rPr>
                <w:color w:val="323E47"/>
                <w:sz w:val="21"/>
                <w:szCs w:val="21"/>
                <w:lang w:val="en-GB" w:eastAsia="en-NZ"/>
              </w:rPr>
            </w:pPr>
            <w:r w:rsidRPr="001805C7">
              <w:rPr>
                <w:color w:val="323E47"/>
                <w:sz w:val="21"/>
                <w:szCs w:val="21"/>
                <w:lang w:val="en-GB" w:eastAsia="en-NZ"/>
              </w:rPr>
              <w:t>100%</w:t>
            </w:r>
          </w:p>
        </w:tc>
        <w:tc>
          <w:tcPr>
            <w:tcW w:w="2126" w:type="dxa"/>
            <w:vAlign w:val="center"/>
          </w:tcPr>
          <w:p w14:paraId="2C114E8B" w14:textId="77777777" w:rsidR="00600621" w:rsidRPr="001805C7" w:rsidRDefault="00600621" w:rsidP="00D14A43">
            <w:pPr>
              <w:pStyle w:val="BodyText-1"/>
              <w:spacing w:before="60" w:after="60" w:line="240" w:lineRule="auto"/>
              <w:ind w:left="57" w:right="57"/>
              <w:jc w:val="center"/>
              <w:rPr>
                <w:color w:val="323E47"/>
                <w:sz w:val="21"/>
                <w:szCs w:val="21"/>
                <w:lang w:val="en-GB" w:eastAsia="en-NZ"/>
              </w:rPr>
            </w:pPr>
            <w:r w:rsidRPr="001805C7">
              <w:rPr>
                <w:color w:val="323E47"/>
                <w:sz w:val="21"/>
                <w:szCs w:val="21"/>
                <w:lang w:val="en-GB" w:eastAsia="en-NZ"/>
              </w:rPr>
              <w:t>50%</w:t>
            </w:r>
          </w:p>
        </w:tc>
      </w:tr>
    </w:tbl>
    <w:p w14:paraId="07C66F62" w14:textId="77777777" w:rsidR="00600621" w:rsidRPr="00E668F5" w:rsidRDefault="00600621" w:rsidP="00600621">
      <w:pPr>
        <w:rPr>
          <w:sz w:val="18"/>
          <w:szCs w:val="18"/>
        </w:rPr>
      </w:pPr>
    </w:p>
    <w:p w14:paraId="398AF545" w14:textId="77777777" w:rsidR="00600621" w:rsidRDefault="00600621" w:rsidP="00600621">
      <w:pPr>
        <w:pStyle w:val="Subtitle"/>
      </w:pPr>
      <w:r>
        <w:t>Bay View Sewerage Connection Rate</w:t>
      </w:r>
    </w:p>
    <w:p w14:paraId="22F02E50" w14:textId="77777777" w:rsidR="00600621" w:rsidRDefault="00600621" w:rsidP="00600621">
      <w:r>
        <w:t xml:space="preserve">The Bay View Sewerage Scheme involves reticulation and pipeline connection to the City Sewerage System. Prior to 1 November 2005, property owners could elect to connect either under a lump sum payment option, or by way of a targeted rate payable over 20 years. </w:t>
      </w:r>
    </w:p>
    <w:p w14:paraId="732D6928" w14:textId="77777777" w:rsidR="00600621" w:rsidRDefault="00600621" w:rsidP="00600621">
      <w:r>
        <w:lastRenderedPageBreak/>
        <w:t xml:space="preserve">The Bay View Sewerage Connection targeted rate is a fixed amount set on a uniform basis. It is applied to each separately used or inhabited part of a rating unit connected to the Bay View Sewerage Scheme, where the lump sum payment option was not elected. </w:t>
      </w:r>
    </w:p>
    <w:p w14:paraId="30282948" w14:textId="77777777" w:rsidR="00600621" w:rsidRDefault="00600621" w:rsidP="00600621">
      <w:r>
        <w:t xml:space="preserve">The rate applies from 1 July following the date of connection for a period of 20 years, or until such time as a lump sum payment for the cost of connection is made. </w:t>
      </w:r>
    </w:p>
    <w:p w14:paraId="0FC46B7A" w14:textId="31A96E12" w:rsidR="00600621" w:rsidRDefault="00600621" w:rsidP="00600621">
      <w:r>
        <w:t xml:space="preserve">The category of rateable land for setting the targeted rate is defined as the provision of a service to those properties that are connected to the sewerage system, but have not paid the lump sum connection fee. </w:t>
      </w:r>
    </w:p>
    <w:p w14:paraId="4BF06B26" w14:textId="4802D243" w:rsidR="00D25DDD" w:rsidRPr="00D25DDD" w:rsidRDefault="00D25DDD" w:rsidP="00600621">
      <w:pPr>
        <w:rPr>
          <w:b/>
          <w:u w:val="single"/>
        </w:rPr>
      </w:pPr>
      <w:r w:rsidRPr="00D25DDD">
        <w:rPr>
          <w:b/>
          <w:u w:val="single"/>
        </w:rPr>
        <w:t>Refuse &amp; Recycling</w:t>
      </w:r>
    </w:p>
    <w:p w14:paraId="3E010733" w14:textId="77777777" w:rsidR="008A7469" w:rsidRDefault="008A7469" w:rsidP="008A7469">
      <w:pPr>
        <w:pStyle w:val="Subtitle"/>
      </w:pPr>
      <w:r>
        <w:t>Refuse Collection and Disposal Rate</w:t>
      </w:r>
    </w:p>
    <w:p w14:paraId="487E06BE" w14:textId="77777777" w:rsidR="008A7469" w:rsidRDefault="008A7469" w:rsidP="0011409E">
      <w:r>
        <w:t xml:space="preserve">This rate recovers the cost of the </w:t>
      </w:r>
      <w:r w:rsidR="00C37AB3">
        <w:t>kerbside refuse collection service, including an allocation of the cost of Council support services.</w:t>
      </w:r>
    </w:p>
    <w:p w14:paraId="25D59159" w14:textId="77777777" w:rsidR="008A7469" w:rsidRDefault="008A7469" w:rsidP="0011409E">
      <w:r>
        <w:t>The Refuse Collection and Disposal targeted rate of a fixed amount is set on a uniform basis. It is applied to each separately used or inhabited part of a rating unit for which a rubbish collection service is available and is multiplied by number of times each week the service is provided. Rating units which Council officers determine are unable to practically receive the Council service and have an approved alternative service will be charged the waste service charge that excludes the approved alternative service.</w:t>
      </w:r>
    </w:p>
    <w:p w14:paraId="0D35D382" w14:textId="77777777" w:rsidR="008A7469" w:rsidRDefault="008A7469" w:rsidP="008A7469">
      <w:pPr>
        <w:pStyle w:val="Subtitle"/>
      </w:pPr>
      <w:r>
        <w:t>Kerbside Recycling Rate</w:t>
      </w:r>
    </w:p>
    <w:p w14:paraId="64FFE356" w14:textId="3A2D9876" w:rsidR="008A7469" w:rsidRDefault="008A7469" w:rsidP="0011409E">
      <w:r>
        <w:t>This rate recovers the net cost of the kerbside recycling collection service</w:t>
      </w:r>
      <w:r w:rsidR="00D25DDD" w:rsidRPr="00D25DDD">
        <w:t>, including an allocation of the cost of Council support services.</w:t>
      </w:r>
    </w:p>
    <w:p w14:paraId="47C15486" w14:textId="464E0298" w:rsidR="008A7469" w:rsidRDefault="008A7469" w:rsidP="0011409E">
      <w:r>
        <w:t>The Kerbside Recycling targeted rate of a fixed amount is set on a uniform basis. It is applied to each separately used or inhabited part of a rating unit for which the kerbside recycling collection service is available. Rating Units which Council officers determine are unable to practically receive the Council service and have an approved alternative service will be charged the waste service charge that excludes the approved alternative service.</w:t>
      </w:r>
    </w:p>
    <w:p w14:paraId="2B374A0D" w14:textId="77777777" w:rsidR="00D25DDD" w:rsidRPr="00D25DDD" w:rsidRDefault="00D25DDD" w:rsidP="00D25DDD">
      <w:pPr>
        <w:rPr>
          <w:b/>
          <w:u w:val="single"/>
        </w:rPr>
      </w:pPr>
      <w:r w:rsidRPr="00D25DDD">
        <w:rPr>
          <w:b/>
          <w:u w:val="single"/>
        </w:rPr>
        <w:t>Off Street Car Parking Rates</w:t>
      </w:r>
    </w:p>
    <w:p w14:paraId="33F2CF68" w14:textId="77777777" w:rsidR="0065502F" w:rsidRDefault="0065502F" w:rsidP="0065502F">
      <w:pPr>
        <w:pStyle w:val="Subtitle"/>
      </w:pPr>
      <w:r>
        <w:t>CBD Off Street Car Parking Rate</w:t>
      </w:r>
    </w:p>
    <w:p w14:paraId="050BAA31" w14:textId="77777777" w:rsidR="00267223" w:rsidRDefault="0065502F" w:rsidP="0011409E">
      <w:r>
        <w:t>This rate is used to provide additional off street car parking in the Central Business District. Those commercial rating units in the mapped areas identified as the Central Business District Off Street Car Parking 100% and 50% Parking Dispensation areas are charged the CBD Off Street Parking targeted rate based on land value. This rate is set on a differential basis as follows:</w:t>
      </w:r>
    </w:p>
    <w:tbl>
      <w:tblPr>
        <w:tblStyle w:val="TableGrid"/>
        <w:tblW w:w="9923" w:type="dxa"/>
        <w:tblLook w:val="04A0" w:firstRow="1" w:lastRow="0" w:firstColumn="1" w:lastColumn="0" w:noHBand="0" w:noVBand="1"/>
      </w:tblPr>
      <w:tblGrid>
        <w:gridCol w:w="7797"/>
        <w:gridCol w:w="2126"/>
      </w:tblGrid>
      <w:tr w:rsidR="0065502F" w14:paraId="509C452F" w14:textId="77777777" w:rsidTr="001805C7">
        <w:tc>
          <w:tcPr>
            <w:tcW w:w="7797" w:type="dxa"/>
            <w:tcBorders>
              <w:top w:val="nil"/>
              <w:left w:val="nil"/>
              <w:bottom w:val="nil"/>
              <w:right w:val="nil"/>
            </w:tcBorders>
            <w:shd w:val="clear" w:color="auto" w:fill="00B0F0"/>
          </w:tcPr>
          <w:p w14:paraId="2B8CD260" w14:textId="77777777" w:rsidR="0065502F" w:rsidRPr="00BC49E5" w:rsidRDefault="0065502F" w:rsidP="00E84BC5">
            <w:pPr>
              <w:rPr>
                <w:color w:val="FFFFFF" w:themeColor="background1"/>
              </w:rPr>
            </w:pPr>
            <w:r w:rsidRPr="00BC49E5">
              <w:rPr>
                <w:color w:val="FFFFFF" w:themeColor="background1"/>
              </w:rPr>
              <w:t>Differentials</w:t>
            </w:r>
          </w:p>
        </w:tc>
        <w:tc>
          <w:tcPr>
            <w:tcW w:w="2126" w:type="dxa"/>
            <w:tcBorders>
              <w:top w:val="nil"/>
              <w:left w:val="nil"/>
              <w:bottom w:val="nil"/>
              <w:right w:val="nil"/>
            </w:tcBorders>
            <w:shd w:val="clear" w:color="auto" w:fill="00B0F0"/>
          </w:tcPr>
          <w:p w14:paraId="546F65AB" w14:textId="77777777" w:rsidR="0065502F" w:rsidRPr="00BC49E5" w:rsidRDefault="0065502F" w:rsidP="00E84BC5">
            <w:pPr>
              <w:jc w:val="center"/>
              <w:rPr>
                <w:color w:val="FFFFFF" w:themeColor="background1"/>
              </w:rPr>
            </w:pPr>
            <w:r>
              <w:rPr>
                <w:color w:val="FFFFFF" w:themeColor="background1"/>
              </w:rPr>
              <w:t>%</w:t>
            </w:r>
          </w:p>
        </w:tc>
      </w:tr>
      <w:tr w:rsidR="0065502F" w14:paraId="5DE1E95F" w14:textId="77777777" w:rsidTr="001805C7">
        <w:tc>
          <w:tcPr>
            <w:tcW w:w="7797" w:type="dxa"/>
            <w:tcBorders>
              <w:top w:val="nil"/>
            </w:tcBorders>
          </w:tcPr>
          <w:p w14:paraId="161703C7" w14:textId="77777777" w:rsidR="0065502F" w:rsidRPr="00BC49E5" w:rsidRDefault="0065502F" w:rsidP="00E84BC5">
            <w:pPr>
              <w:rPr>
                <w:sz w:val="18"/>
                <w:szCs w:val="18"/>
              </w:rPr>
            </w:pPr>
            <w:r>
              <w:t>Properties where council provides additional parking due to the property receiving a 100% parking dispensation</w:t>
            </w:r>
          </w:p>
        </w:tc>
        <w:tc>
          <w:tcPr>
            <w:tcW w:w="2126" w:type="dxa"/>
            <w:tcBorders>
              <w:top w:val="nil"/>
            </w:tcBorders>
          </w:tcPr>
          <w:p w14:paraId="0BF8ABC2" w14:textId="77777777" w:rsidR="0065502F" w:rsidRDefault="0065502F" w:rsidP="00E84BC5">
            <w:pPr>
              <w:jc w:val="center"/>
            </w:pPr>
            <w:r>
              <w:t>100%</w:t>
            </w:r>
          </w:p>
        </w:tc>
      </w:tr>
      <w:tr w:rsidR="0065502F" w14:paraId="0E27D055" w14:textId="77777777" w:rsidTr="001805C7">
        <w:tc>
          <w:tcPr>
            <w:tcW w:w="7797" w:type="dxa"/>
          </w:tcPr>
          <w:p w14:paraId="3EC2CEAF" w14:textId="77777777" w:rsidR="0065502F" w:rsidRPr="00BC49E5" w:rsidRDefault="0065502F" w:rsidP="00E84BC5">
            <w:pPr>
              <w:rPr>
                <w:sz w:val="18"/>
                <w:szCs w:val="18"/>
              </w:rPr>
            </w:pPr>
            <w:r>
              <w:t>Properties where council provides additional parking due to the property receiving a 50% parking dispensation.</w:t>
            </w:r>
          </w:p>
        </w:tc>
        <w:tc>
          <w:tcPr>
            <w:tcW w:w="2126" w:type="dxa"/>
          </w:tcPr>
          <w:p w14:paraId="527FDC00" w14:textId="77777777" w:rsidR="0065502F" w:rsidRDefault="0065502F" w:rsidP="00E84BC5">
            <w:pPr>
              <w:jc w:val="center"/>
            </w:pPr>
            <w:r>
              <w:t>50%</w:t>
            </w:r>
          </w:p>
        </w:tc>
      </w:tr>
    </w:tbl>
    <w:p w14:paraId="287008AC" w14:textId="77777777" w:rsidR="0065502F" w:rsidRDefault="0065502F" w:rsidP="0011409E"/>
    <w:p w14:paraId="6D09865F" w14:textId="77777777" w:rsidR="0065502F" w:rsidRDefault="0065502F" w:rsidP="0011409E">
      <w:r>
        <w:t xml:space="preserve">Refer Council maps: </w:t>
      </w:r>
    </w:p>
    <w:p w14:paraId="2174ED30" w14:textId="77777777" w:rsidR="0065502F" w:rsidRPr="0065502F" w:rsidRDefault="0065502F" w:rsidP="0065502F">
      <w:pPr>
        <w:pStyle w:val="ListParagraph"/>
        <w:numPr>
          <w:ilvl w:val="0"/>
          <w:numId w:val="6"/>
        </w:numPr>
        <w:rPr>
          <w:b w:val="0"/>
          <w:sz w:val="21"/>
          <w:szCs w:val="21"/>
        </w:rPr>
      </w:pPr>
      <w:r w:rsidRPr="0065502F">
        <w:rPr>
          <w:b w:val="0"/>
          <w:sz w:val="21"/>
          <w:szCs w:val="21"/>
        </w:rPr>
        <w:t xml:space="preserve">CBD Off Street Car Parking – 100% Parking Dispensation Area </w:t>
      </w:r>
    </w:p>
    <w:p w14:paraId="1DBC1BE3" w14:textId="77777777" w:rsidR="008A7469" w:rsidRPr="0065502F" w:rsidRDefault="0065502F" w:rsidP="0065502F">
      <w:pPr>
        <w:pStyle w:val="ListParagraph"/>
        <w:numPr>
          <w:ilvl w:val="0"/>
          <w:numId w:val="6"/>
        </w:numPr>
        <w:rPr>
          <w:b w:val="0"/>
          <w:sz w:val="21"/>
          <w:szCs w:val="21"/>
        </w:rPr>
      </w:pPr>
      <w:r w:rsidRPr="0065502F">
        <w:rPr>
          <w:b w:val="0"/>
          <w:sz w:val="21"/>
          <w:szCs w:val="21"/>
        </w:rPr>
        <w:t>CBD Off Street Car Parking – 50% Parking Dispensation Area</w:t>
      </w:r>
    </w:p>
    <w:p w14:paraId="548697F3" w14:textId="77777777" w:rsidR="0065502F" w:rsidRDefault="0065502F" w:rsidP="0065502F">
      <w:pPr>
        <w:pStyle w:val="Subtitle"/>
      </w:pPr>
      <w:r>
        <w:t>Taradale Off Street Car Parking Rate</w:t>
      </w:r>
    </w:p>
    <w:p w14:paraId="4A801FDE" w14:textId="77777777" w:rsidR="0065502F" w:rsidRDefault="0065502F" w:rsidP="0011409E">
      <w:r>
        <w:t xml:space="preserve">This rate is used to provide additional off street car parking in the Taradale Suburban Commercial area. </w:t>
      </w:r>
    </w:p>
    <w:p w14:paraId="30535247" w14:textId="77777777" w:rsidR="0065502F" w:rsidRDefault="0065502F" w:rsidP="0011409E">
      <w:r>
        <w:t xml:space="preserve">Those </w:t>
      </w:r>
      <w:r w:rsidR="002B1420">
        <w:t xml:space="preserve">commercial rating units </w:t>
      </w:r>
      <w:r>
        <w:t>in the Taradale Suburban Commercial area only are charged the Taradale Off Street Parking targeted rate based on land value and set on a uniform basis.</w:t>
      </w:r>
    </w:p>
    <w:p w14:paraId="07884457" w14:textId="77777777" w:rsidR="00D82969" w:rsidRDefault="00D82969" w:rsidP="00D82969">
      <w:pPr>
        <w:pStyle w:val="Subtitle"/>
      </w:pPr>
      <w:r>
        <w:lastRenderedPageBreak/>
        <w:t>Suburban Off Street Car Parking Rate</w:t>
      </w:r>
    </w:p>
    <w:p w14:paraId="11B26938" w14:textId="77777777" w:rsidR="00D82969" w:rsidRDefault="00D82969" w:rsidP="0011409E">
      <w:r>
        <w:t xml:space="preserve">This rate is used to provide additional off street car parking at each of these areas served by Council supplied off street car parking, and to maintain the existing off street car parking areas. </w:t>
      </w:r>
    </w:p>
    <w:p w14:paraId="047B31E2" w14:textId="2A0324BE" w:rsidR="00D82969" w:rsidRDefault="00D82969" w:rsidP="0011409E">
      <w:r>
        <w:t xml:space="preserve">Those </w:t>
      </w:r>
      <w:r w:rsidR="002B1420">
        <w:t xml:space="preserve">commercial rating units </w:t>
      </w:r>
      <w:r>
        <w:t>in suburban shopping centres and those commercial properties located in residential areas which are served by Council supplied off street car parking are charged the Suburban Shopping Centre Off Street Parking targeted rate based on land value and set on a uniform basis.</w:t>
      </w:r>
    </w:p>
    <w:p w14:paraId="55A552B5" w14:textId="1F37F7AC" w:rsidR="00D25DDD" w:rsidRPr="00D25DDD" w:rsidRDefault="00D25DDD" w:rsidP="0011409E">
      <w:pPr>
        <w:rPr>
          <w:b/>
          <w:u w:val="single"/>
        </w:rPr>
      </w:pPr>
      <w:r w:rsidRPr="00D25DDD">
        <w:rPr>
          <w:b/>
          <w:u w:val="single"/>
        </w:rPr>
        <w:t>Promotion Rates</w:t>
      </w:r>
    </w:p>
    <w:p w14:paraId="053568D9" w14:textId="77777777" w:rsidR="00D82969" w:rsidRDefault="00D82969" w:rsidP="00D82969">
      <w:pPr>
        <w:pStyle w:val="Subtitle"/>
      </w:pPr>
      <w:r>
        <w:t>CBD Promotion Rate</w:t>
      </w:r>
    </w:p>
    <w:p w14:paraId="6D03F3B8" w14:textId="77777777" w:rsidR="00D82969" w:rsidRDefault="00D82969" w:rsidP="0011409E">
      <w:r>
        <w:t xml:space="preserve">This rate recovers at least 70% of the cost of the promotional activities run by Napier City Business Inc. The remainder is met from general rates to reflect the wider community benefit of promoting the CBD to realise its full economic potential. </w:t>
      </w:r>
    </w:p>
    <w:p w14:paraId="4BA9BE19" w14:textId="77777777" w:rsidR="00D82969" w:rsidRDefault="00D82969" w:rsidP="0011409E">
      <w:r>
        <w:t>Each commercial and industrial rating unit situated within the area as defined on Council map “CBD Promotion Rate Area” are charged the CBD Promotion targeted rate based on land value and set on a uniform basis.</w:t>
      </w:r>
    </w:p>
    <w:p w14:paraId="49EEA06B" w14:textId="77777777" w:rsidR="00A93564" w:rsidRDefault="00A93564" w:rsidP="00A93564">
      <w:pPr>
        <w:pStyle w:val="Subtitle"/>
      </w:pPr>
      <w:r>
        <w:t>Taradale Promotion Rate</w:t>
      </w:r>
    </w:p>
    <w:p w14:paraId="628D12D1" w14:textId="21FC2A23" w:rsidR="00A93564" w:rsidRDefault="00D82969" w:rsidP="0011409E">
      <w:r>
        <w:t xml:space="preserve">This rate recovers the full cost of the Taradale Marketing Association’s promotional activities. All rating units in the Taradale Suburban Commercial area are charged the Taradale Promotion targeted rate based on land value and set on a uniform basis. </w:t>
      </w:r>
    </w:p>
    <w:p w14:paraId="61E949D8" w14:textId="4D2D4E02" w:rsidR="00D25DDD" w:rsidRPr="00D25DDD" w:rsidRDefault="00D25DDD" w:rsidP="0011409E">
      <w:pPr>
        <w:rPr>
          <w:b/>
          <w:u w:val="single"/>
        </w:rPr>
      </w:pPr>
      <w:r w:rsidRPr="00D25DDD">
        <w:rPr>
          <w:b/>
          <w:u w:val="single"/>
        </w:rPr>
        <w:t>Other Rates and Charges</w:t>
      </w:r>
    </w:p>
    <w:p w14:paraId="5917D5FC" w14:textId="77777777" w:rsidR="00A93564" w:rsidRDefault="00A93564" w:rsidP="00A93564">
      <w:pPr>
        <w:pStyle w:val="Subtitle"/>
      </w:pPr>
      <w:r>
        <w:t>Swimming</w:t>
      </w:r>
      <w:r w:rsidR="00D82969">
        <w:t xml:space="preserve"> P</w:t>
      </w:r>
      <w:r>
        <w:t>ool</w:t>
      </w:r>
      <w:r w:rsidR="00D82969">
        <w:t xml:space="preserve"> S</w:t>
      </w:r>
      <w:r>
        <w:t>afety</w:t>
      </w:r>
      <w:r w:rsidR="00D82969">
        <w:t xml:space="preserve"> R</w:t>
      </w:r>
      <w:r>
        <w:t>ate</w:t>
      </w:r>
      <w:r w:rsidR="00D82969">
        <w:t xml:space="preserve"> </w:t>
      </w:r>
    </w:p>
    <w:p w14:paraId="0278FA45" w14:textId="77777777" w:rsidR="00A93564" w:rsidRDefault="00D82969" w:rsidP="0011409E">
      <w:r>
        <w:t xml:space="preserve">This rate recovers the cost of pool inspections and related costs to ensure owners meet the legal requirements of the Building Act 2004 and Building (Pools) Amendment Act 2016. A targeted rate of a fixed amount set on a uniform basis, applied to each rating unit where a residential pool or small heated pool (within the meaning of the Building (Pools) Amendment Act 2016) is subject to a 3 yearly pool inspection. </w:t>
      </w:r>
    </w:p>
    <w:p w14:paraId="7625D4BF" w14:textId="77777777" w:rsidR="00A93564" w:rsidRDefault="00D82969" w:rsidP="00A93564">
      <w:pPr>
        <w:pStyle w:val="Subtitle"/>
      </w:pPr>
      <w:r>
        <w:t>W</w:t>
      </w:r>
      <w:r w:rsidR="00A93564">
        <w:t>ater</w:t>
      </w:r>
      <w:r>
        <w:t xml:space="preserve"> B</w:t>
      </w:r>
      <w:r w:rsidR="00A93564">
        <w:t>y</w:t>
      </w:r>
      <w:r>
        <w:t xml:space="preserve"> M</w:t>
      </w:r>
      <w:r w:rsidR="00A93564">
        <w:t>eter</w:t>
      </w:r>
      <w:r>
        <w:t xml:space="preserve"> C</w:t>
      </w:r>
      <w:r w:rsidR="00A93564">
        <w:t>harges</w:t>
      </w:r>
    </w:p>
    <w:p w14:paraId="245F9F9F" w14:textId="77777777" w:rsidR="00A93564" w:rsidRDefault="00D82969" w:rsidP="0011409E">
      <w:r>
        <w:t xml:space="preserve">This rate applies to all with a water meter and is charged based on a scale of charges as shown on the schedule of indicative rates each year. </w:t>
      </w:r>
    </w:p>
    <w:p w14:paraId="037B6777" w14:textId="77777777" w:rsidR="00A93564" w:rsidRDefault="00D82969" w:rsidP="0011409E">
      <w:r>
        <w:t xml:space="preserve">Where any rating unit is suspected to have above average water usage Council officers may require that a water meter is installed and excess usage is charged based the water by meter targeted rate. </w:t>
      </w:r>
    </w:p>
    <w:p w14:paraId="303CE565" w14:textId="2D6FC0EE" w:rsidR="00D82969" w:rsidRDefault="00D82969" w:rsidP="0011409E">
      <w:r>
        <w:t>The rate based on actual water use above the first 300m</w:t>
      </w:r>
      <w:r w:rsidRPr="001805C7">
        <w:rPr>
          <w:vertAlign w:val="superscript"/>
        </w:rPr>
        <w:t>3</w:t>
      </w:r>
      <w:r>
        <w:t xml:space="preserve"> per </w:t>
      </w:r>
      <w:r w:rsidR="00011EEE">
        <w:t xml:space="preserve">SUIP per </w:t>
      </w:r>
      <w:r>
        <w:t xml:space="preserve">annum </w:t>
      </w:r>
      <w:r w:rsidR="00D25DDD" w:rsidRPr="00D25DDD">
        <w:t>applies to select metered properties.</w:t>
      </w:r>
    </w:p>
    <w:p w14:paraId="5F2472EF" w14:textId="77777777" w:rsidR="00A93564" w:rsidRPr="00A93564" w:rsidRDefault="00A93564" w:rsidP="0011409E">
      <w:pPr>
        <w:rPr>
          <w:b/>
        </w:rPr>
      </w:pPr>
      <w:r w:rsidRPr="00A93564">
        <w:rPr>
          <w:b/>
        </w:rPr>
        <w:t xml:space="preserve">Targeted Rates Note: </w:t>
      </w:r>
    </w:p>
    <w:p w14:paraId="145A2F44" w14:textId="77777777" w:rsidR="00D82969" w:rsidRDefault="00A93564" w:rsidP="0011409E">
      <w:r>
        <w:t>For the purposes of Schedule 10, clause 15(4)(e) or clause 20(4)(e) of the Local Government Act 2002, lump sum contributions will not be invited in respect of targeted rates, unless this is provided within the description of a particular targeted rate.</w:t>
      </w:r>
    </w:p>
    <w:p w14:paraId="62D40184" w14:textId="77777777" w:rsidR="008A7469" w:rsidRPr="000D2659" w:rsidRDefault="008A7469" w:rsidP="0011409E"/>
    <w:p w14:paraId="7A4B1F88" w14:textId="77777777" w:rsidR="007F0BB7" w:rsidRDefault="007F0BB7" w:rsidP="007F0BB7">
      <w:pPr>
        <w:pStyle w:val="ListParagraph"/>
        <w:ind w:left="284" w:hanging="284"/>
        <w:rPr>
          <w:color w:val="auto"/>
        </w:rPr>
      </w:pPr>
      <w:r>
        <w:rPr>
          <w:color w:val="auto"/>
        </w:rPr>
        <w:t>Separately Used or Inhabited Parts of a Rating Unit Definition</w:t>
      </w:r>
    </w:p>
    <w:p w14:paraId="2F05AAE7" w14:textId="77777777" w:rsidR="007F0BB7" w:rsidRDefault="007F0BB7" w:rsidP="007F0BB7">
      <w:pPr>
        <w:pStyle w:val="Subtitle"/>
      </w:pPr>
      <w:r>
        <w:t>Definition</w:t>
      </w:r>
    </w:p>
    <w:p w14:paraId="077A3B8F" w14:textId="00F5286A" w:rsidR="007F0BB7" w:rsidRDefault="007F0BB7" w:rsidP="007F0BB7">
      <w:r>
        <w:t xml:space="preserve">For the purposes of the Uniform Annual General Charge and all uniform (or fixed value) Targeted Rates, a separately used or inhabited part of a rating unit is defined as: </w:t>
      </w:r>
      <w:r w:rsidRPr="007F0BB7">
        <w:rPr>
          <w:i/>
        </w:rPr>
        <w:t>Any part of a rating unit that is, or is able to be, separately used or inhabited by the owner or by any other person or body having the right to use or inhabit that part by virtue of a tenancy, lease, licence or other agreement.</w:t>
      </w:r>
      <w:r>
        <w:t xml:space="preserve"> </w:t>
      </w:r>
    </w:p>
    <w:p w14:paraId="774B960B" w14:textId="77777777" w:rsidR="007F0BB7" w:rsidRDefault="007F0BB7" w:rsidP="007F0BB7">
      <w:r>
        <w:lastRenderedPageBreak/>
        <w:t>This definition includes separately used parts, whether or not actually occupied at any particular time, which are provided by the owner for rental (or other forms of occupation) on an occasional or long term basis by someone other than the owner.</w:t>
      </w:r>
    </w:p>
    <w:p w14:paraId="29C80D92" w14:textId="77777777" w:rsidR="00B16A21" w:rsidRPr="007F0BB7" w:rsidRDefault="00562060" w:rsidP="007F0BB7">
      <w:pPr>
        <w:tabs>
          <w:tab w:val="num" w:pos="720"/>
        </w:tabs>
      </w:pPr>
      <w:r w:rsidRPr="007F0BB7">
        <w:t>Examples of separately used or inhabited parts of a rating unit include:</w:t>
      </w:r>
    </w:p>
    <w:p w14:paraId="0CADF2F8" w14:textId="77777777" w:rsidR="0029024B" w:rsidRPr="0029024B" w:rsidRDefault="0029024B" w:rsidP="0029024B">
      <w:pPr>
        <w:pStyle w:val="ListParagraph"/>
        <w:numPr>
          <w:ilvl w:val="0"/>
          <w:numId w:val="6"/>
        </w:numPr>
        <w:rPr>
          <w:b w:val="0"/>
          <w:sz w:val="21"/>
          <w:szCs w:val="21"/>
        </w:rPr>
      </w:pPr>
      <w:r w:rsidRPr="0029024B">
        <w:rPr>
          <w:b w:val="0"/>
          <w:sz w:val="21"/>
          <w:szCs w:val="21"/>
        </w:rPr>
        <w:t>For residential rating units, each consented supplementary unit is considered a separately used or inhabited part. Each situation is assessed on its merits.</w:t>
      </w:r>
    </w:p>
    <w:p w14:paraId="50B194CE" w14:textId="77777777" w:rsidR="00B16A21" w:rsidRPr="007F0BB7" w:rsidRDefault="00562060" w:rsidP="007F0BB7">
      <w:pPr>
        <w:pStyle w:val="ListParagraph"/>
        <w:numPr>
          <w:ilvl w:val="0"/>
          <w:numId w:val="6"/>
        </w:numPr>
        <w:rPr>
          <w:b w:val="0"/>
          <w:sz w:val="21"/>
          <w:szCs w:val="21"/>
        </w:rPr>
      </w:pPr>
      <w:r w:rsidRPr="007F0BB7">
        <w:rPr>
          <w:b w:val="0"/>
          <w:sz w:val="21"/>
          <w:szCs w:val="21"/>
        </w:rPr>
        <w:t>Residential properties, where a separate area that is available to be used as an area independent to the rest of the dwelling is used for the purpose of operating a business, such as a professional practice, dedicated shop\display area or trade workshop. The business area is considered a separately used or inhabited part.</w:t>
      </w:r>
    </w:p>
    <w:p w14:paraId="47A69540" w14:textId="77777777" w:rsidR="00B16A21" w:rsidRPr="007F0BB7" w:rsidRDefault="00562060" w:rsidP="007F0BB7">
      <w:pPr>
        <w:pStyle w:val="ListParagraph"/>
        <w:numPr>
          <w:ilvl w:val="0"/>
          <w:numId w:val="6"/>
        </w:numPr>
        <w:rPr>
          <w:b w:val="0"/>
          <w:sz w:val="21"/>
          <w:szCs w:val="21"/>
        </w:rPr>
      </w:pPr>
      <w:r w:rsidRPr="007F0BB7">
        <w:rPr>
          <w:b w:val="0"/>
          <w:sz w:val="21"/>
          <w:szCs w:val="21"/>
        </w:rPr>
        <w:t>For commercial or industrial properties, two or more different businesses operating from or making separate use of the different parts of the rating unit. Each separate business is considered a separately used or inhabited part. A degree of common area would not necessarily negate the separate parts.</w:t>
      </w:r>
    </w:p>
    <w:p w14:paraId="5CB8A019" w14:textId="77777777" w:rsidR="00B16A21" w:rsidRPr="007F0BB7" w:rsidRDefault="00562060" w:rsidP="007F0BB7">
      <w:pPr>
        <w:pStyle w:val="ListParagraph"/>
        <w:numPr>
          <w:ilvl w:val="0"/>
          <w:numId w:val="6"/>
        </w:numPr>
        <w:rPr>
          <w:b w:val="0"/>
          <w:sz w:val="21"/>
          <w:szCs w:val="21"/>
        </w:rPr>
      </w:pPr>
      <w:r w:rsidRPr="007F0BB7">
        <w:rPr>
          <w:b w:val="0"/>
          <w:sz w:val="21"/>
          <w:szCs w:val="21"/>
        </w:rPr>
        <w:t>Where a single business comprises multiple buildings, or multiple floors of a single building, each building or floor of a multi-story building is deemed to constitute a separate part (SUIP).</w:t>
      </w:r>
    </w:p>
    <w:p w14:paraId="31E2D5D8" w14:textId="77777777" w:rsidR="007F0BB7" w:rsidRDefault="007F0BB7" w:rsidP="007F0BB7">
      <w:pPr>
        <w:spacing w:after="0"/>
        <w:rPr>
          <w:lang w:val="en-GB"/>
        </w:rPr>
      </w:pPr>
      <w:r w:rsidRPr="007F0BB7">
        <w:rPr>
          <w:lang w:val="en-GB"/>
        </w:rPr>
        <w:t>These examples are not inclusive of all situations</w:t>
      </w:r>
      <w:r w:rsidR="00D37AB9">
        <w:rPr>
          <w:lang w:val="en-GB"/>
        </w:rPr>
        <w:t>.</w:t>
      </w:r>
    </w:p>
    <w:p w14:paraId="6632957C" w14:textId="77777777" w:rsidR="00D37AB9" w:rsidRDefault="00D37AB9" w:rsidP="007F0BB7">
      <w:pPr>
        <w:spacing w:after="0"/>
        <w:rPr>
          <w:lang w:val="en-GB"/>
        </w:rPr>
      </w:pPr>
    </w:p>
    <w:p w14:paraId="3D9DA3F8" w14:textId="77777777" w:rsidR="00032CAC" w:rsidRDefault="00032CAC">
      <w:pPr>
        <w:spacing w:after="0" w:line="240" w:lineRule="auto"/>
        <w:jc w:val="left"/>
        <w:rPr>
          <w:rFonts w:asciiTheme="minorHAnsi" w:hAnsiTheme="minorHAnsi"/>
          <w:b/>
          <w:color w:val="auto"/>
          <w:sz w:val="24"/>
          <w:szCs w:val="22"/>
        </w:rPr>
      </w:pPr>
      <w:r>
        <w:rPr>
          <w:color w:val="auto"/>
        </w:rPr>
        <w:br w:type="page"/>
      </w:r>
    </w:p>
    <w:p w14:paraId="63A8267A" w14:textId="77777777" w:rsidR="00D37AB9" w:rsidRPr="00444D24" w:rsidRDefault="00444D24" w:rsidP="00444D24">
      <w:pPr>
        <w:pStyle w:val="ListParagraph"/>
        <w:ind w:left="284" w:hanging="284"/>
        <w:rPr>
          <w:color w:val="auto"/>
        </w:rPr>
      </w:pPr>
      <w:r w:rsidRPr="00444D24">
        <w:rPr>
          <w:color w:val="auto"/>
        </w:rPr>
        <w:lastRenderedPageBreak/>
        <w:t>Maps</w:t>
      </w:r>
    </w:p>
    <w:p w14:paraId="44D8F7CD" w14:textId="77777777" w:rsidR="00444D24" w:rsidRDefault="00444D24" w:rsidP="00444D24">
      <w:pPr>
        <w:pStyle w:val="Subtitle"/>
      </w:pPr>
      <w:r>
        <w:t>CBD Promotion Rate Area</w:t>
      </w:r>
    </w:p>
    <w:p w14:paraId="52A75960" w14:textId="77777777" w:rsidR="00444D24" w:rsidRDefault="00032CAC" w:rsidP="00D37AB9">
      <w:r>
        <w:rPr>
          <w:noProof/>
          <w:lang w:eastAsia="en-NZ"/>
        </w:rPr>
        <w:drawing>
          <wp:inline distT="0" distB="0" distL="0" distR="0" wp14:anchorId="2F358C01" wp14:editId="3448C161">
            <wp:extent cx="5734050" cy="746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050" cy="7467600"/>
                    </a:xfrm>
                    <a:prstGeom prst="rect">
                      <a:avLst/>
                    </a:prstGeom>
                  </pic:spPr>
                </pic:pic>
              </a:graphicData>
            </a:graphic>
          </wp:inline>
        </w:drawing>
      </w:r>
    </w:p>
    <w:p w14:paraId="791C92E9" w14:textId="77777777" w:rsidR="00032CAC" w:rsidRDefault="00032CAC">
      <w:pPr>
        <w:spacing w:after="0" w:line="240" w:lineRule="auto"/>
        <w:jc w:val="left"/>
        <w:rPr>
          <w:rFonts w:asciiTheme="minorHAnsi" w:eastAsiaTheme="minorEastAsia" w:hAnsiTheme="minorHAnsi" w:cstheme="minorBidi"/>
          <w:color w:val="43B4E3" w:themeColor="text2"/>
          <w:spacing w:val="15"/>
          <w:sz w:val="22"/>
          <w:szCs w:val="22"/>
        </w:rPr>
      </w:pPr>
      <w:r>
        <w:br w:type="page"/>
      </w:r>
    </w:p>
    <w:p w14:paraId="583CE915" w14:textId="77777777" w:rsidR="00444D24" w:rsidRDefault="00444D24" w:rsidP="00444D24">
      <w:pPr>
        <w:pStyle w:val="Subtitle"/>
      </w:pPr>
      <w:r>
        <w:lastRenderedPageBreak/>
        <w:t xml:space="preserve">CBD Off Street Parking </w:t>
      </w:r>
    </w:p>
    <w:p w14:paraId="33C6AEF5" w14:textId="77777777" w:rsidR="00444D24" w:rsidRPr="00444D24" w:rsidRDefault="00444D24" w:rsidP="00D37AB9">
      <w:pPr>
        <w:rPr>
          <w:b/>
        </w:rPr>
      </w:pPr>
      <w:r w:rsidRPr="00444D24">
        <w:rPr>
          <w:b/>
        </w:rPr>
        <w:t>100% Parking Dispensation Area</w:t>
      </w:r>
    </w:p>
    <w:p w14:paraId="6832CF28" w14:textId="77777777" w:rsidR="00444D24" w:rsidRDefault="00032CAC" w:rsidP="00D37AB9">
      <w:r>
        <w:rPr>
          <w:noProof/>
          <w:lang w:eastAsia="en-NZ"/>
        </w:rPr>
        <w:drawing>
          <wp:inline distT="0" distB="0" distL="0" distR="0" wp14:anchorId="662F76DC" wp14:editId="45EFC0D8">
            <wp:extent cx="5438775" cy="7934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8775" cy="7934325"/>
                    </a:xfrm>
                    <a:prstGeom prst="rect">
                      <a:avLst/>
                    </a:prstGeom>
                  </pic:spPr>
                </pic:pic>
              </a:graphicData>
            </a:graphic>
          </wp:inline>
        </w:drawing>
      </w:r>
    </w:p>
    <w:p w14:paraId="00422FCA" w14:textId="77777777" w:rsidR="00032CAC" w:rsidRDefault="00032CAC">
      <w:pPr>
        <w:spacing w:after="0" w:line="240" w:lineRule="auto"/>
        <w:jc w:val="left"/>
        <w:rPr>
          <w:b/>
        </w:rPr>
      </w:pPr>
      <w:r>
        <w:rPr>
          <w:b/>
        </w:rPr>
        <w:br w:type="page"/>
      </w:r>
    </w:p>
    <w:p w14:paraId="06300E56" w14:textId="77777777" w:rsidR="00444D24" w:rsidRPr="00444D24" w:rsidRDefault="00444D24" w:rsidP="00444D24">
      <w:pPr>
        <w:rPr>
          <w:b/>
        </w:rPr>
      </w:pPr>
      <w:r>
        <w:rPr>
          <w:b/>
        </w:rPr>
        <w:lastRenderedPageBreak/>
        <w:t>5</w:t>
      </w:r>
      <w:r w:rsidRPr="00444D24">
        <w:rPr>
          <w:b/>
        </w:rPr>
        <w:t>0% Parking Dispensation Area</w:t>
      </w:r>
    </w:p>
    <w:p w14:paraId="7CA2A453" w14:textId="77777777" w:rsidR="00444D24" w:rsidRDefault="00032CAC" w:rsidP="00D37AB9">
      <w:r>
        <w:rPr>
          <w:noProof/>
          <w:lang w:eastAsia="en-NZ"/>
        </w:rPr>
        <w:drawing>
          <wp:inline distT="0" distB="0" distL="0" distR="0" wp14:anchorId="19C60007" wp14:editId="5BFBD30D">
            <wp:extent cx="5400675" cy="795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7953375"/>
                    </a:xfrm>
                    <a:prstGeom prst="rect">
                      <a:avLst/>
                    </a:prstGeom>
                  </pic:spPr>
                </pic:pic>
              </a:graphicData>
            </a:graphic>
          </wp:inline>
        </w:drawing>
      </w:r>
    </w:p>
    <w:p w14:paraId="0686FD60" w14:textId="6B9BB953" w:rsidR="0029024B" w:rsidRDefault="0029024B">
      <w:pPr>
        <w:spacing w:after="0" w:line="240" w:lineRule="auto"/>
        <w:jc w:val="left"/>
      </w:pPr>
      <w:r>
        <w:br w:type="page"/>
      </w:r>
    </w:p>
    <w:p w14:paraId="584B32AD" w14:textId="6137968A" w:rsidR="0029024B" w:rsidRDefault="0029024B" w:rsidP="0029024B">
      <w:pPr>
        <w:pStyle w:val="Subtitle"/>
      </w:pPr>
      <w:r>
        <w:lastRenderedPageBreak/>
        <w:t xml:space="preserve">CBD Fire Protection Area </w:t>
      </w:r>
    </w:p>
    <w:p w14:paraId="50218C2E" w14:textId="56702516" w:rsidR="0029024B" w:rsidRDefault="0029024B" w:rsidP="00D37AB9">
      <w:r>
        <w:rPr>
          <w:rFonts w:eastAsia="Times New Roman"/>
          <w:b/>
          <w:bCs/>
          <w:noProof/>
          <w:color w:val="43B4E4"/>
          <w:szCs w:val="24"/>
          <w:lang w:eastAsia="en-NZ"/>
        </w:rPr>
        <w:drawing>
          <wp:inline distT="0" distB="0" distL="0" distR="0" wp14:anchorId="496D0301" wp14:editId="7619103B">
            <wp:extent cx="5759450" cy="8146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BD and CBD Fringe Rate Are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274B9123" w14:textId="77777777" w:rsidR="0029024B" w:rsidRDefault="0029024B">
      <w:pPr>
        <w:spacing w:after="0" w:line="240" w:lineRule="auto"/>
        <w:jc w:val="left"/>
      </w:pPr>
      <w:r>
        <w:br w:type="page"/>
      </w:r>
    </w:p>
    <w:p w14:paraId="3215F300" w14:textId="0B7538E0" w:rsidR="0029024B" w:rsidRDefault="0029024B" w:rsidP="0029024B">
      <w:pPr>
        <w:pStyle w:val="Subtitle"/>
      </w:pPr>
      <w:r>
        <w:lastRenderedPageBreak/>
        <w:t>Stormwater Coverage</w:t>
      </w:r>
    </w:p>
    <w:p w14:paraId="25C3751A" w14:textId="1048CF47" w:rsidR="00444D24" w:rsidRDefault="0029024B" w:rsidP="00D37AB9">
      <w:r>
        <w:rPr>
          <w:rFonts w:eastAsia="Times New Roman"/>
          <w:b/>
          <w:bCs/>
          <w:noProof/>
          <w:color w:val="43B4E4"/>
          <w:szCs w:val="24"/>
          <w:lang w:eastAsia="en-NZ"/>
        </w:rPr>
        <w:drawing>
          <wp:inline distT="0" distB="0" distL="0" distR="0" wp14:anchorId="54449296" wp14:editId="65B85C62">
            <wp:extent cx="5759450" cy="81451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ormwaterProperti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52C8A36D" w14:textId="77777777" w:rsidR="0029024B" w:rsidRDefault="0029024B" w:rsidP="00D37AB9"/>
    <w:p w14:paraId="5397E2AD" w14:textId="66B0F4D5" w:rsidR="0029024B" w:rsidRDefault="0029024B" w:rsidP="00D37AB9"/>
    <w:p w14:paraId="2DAD8D1C" w14:textId="77777777" w:rsidR="0029024B" w:rsidRDefault="0029024B" w:rsidP="00D37AB9"/>
    <w:p w14:paraId="03B30AE5" w14:textId="77777777" w:rsidR="00DE022E" w:rsidRPr="00DE022E" w:rsidRDefault="00DE022E" w:rsidP="00DE022E">
      <w:pPr>
        <w:spacing w:before="120" w:line="240" w:lineRule="auto"/>
        <w:outlineLvl w:val="0"/>
        <w:rPr>
          <w:rFonts w:cs="Arial"/>
          <w:b/>
          <w:color w:val="auto"/>
          <w:sz w:val="28"/>
          <w:szCs w:val="32"/>
        </w:rPr>
      </w:pPr>
      <w:r w:rsidRPr="00DE022E">
        <w:rPr>
          <w:rFonts w:cs="Arial"/>
          <w:b/>
          <w:color w:val="auto"/>
          <w:sz w:val="28"/>
          <w:szCs w:val="32"/>
        </w:rPr>
        <w:lastRenderedPageBreak/>
        <w:t>Policy Review</w:t>
      </w:r>
    </w:p>
    <w:p w14:paraId="06B59D74" w14:textId="75AA7B13" w:rsidR="00413B6C" w:rsidRDefault="00656C0D" w:rsidP="005752BE">
      <w:pPr>
        <w:rPr>
          <w:color w:val="auto"/>
        </w:rPr>
      </w:pPr>
      <w:r w:rsidRPr="005752BE">
        <w:rPr>
          <w:color w:val="auto"/>
        </w:rPr>
        <w:t>This policy will be reviewed at least once every three years.</w:t>
      </w:r>
    </w:p>
    <w:p w14:paraId="7B6BD29E" w14:textId="77777777" w:rsidR="00413B6C" w:rsidRPr="00413B6C" w:rsidRDefault="00413B6C" w:rsidP="00413B6C"/>
    <w:p w14:paraId="166F7C5F" w14:textId="77777777" w:rsidR="00413B6C" w:rsidRPr="00413B6C" w:rsidRDefault="00413B6C" w:rsidP="00413B6C"/>
    <w:p w14:paraId="64759FFA" w14:textId="77777777" w:rsidR="00413B6C" w:rsidRPr="00413B6C" w:rsidRDefault="00413B6C" w:rsidP="00413B6C"/>
    <w:p w14:paraId="4D12802B" w14:textId="77777777" w:rsidR="00413B6C" w:rsidRPr="00413B6C" w:rsidRDefault="00413B6C" w:rsidP="00413B6C"/>
    <w:p w14:paraId="7AE4788D" w14:textId="77777777" w:rsidR="00413B6C" w:rsidRPr="00413B6C" w:rsidRDefault="00413B6C" w:rsidP="00413B6C"/>
    <w:p w14:paraId="3A774FEE" w14:textId="77777777" w:rsidR="00413B6C" w:rsidRPr="00413B6C" w:rsidRDefault="00413B6C" w:rsidP="00413B6C"/>
    <w:p w14:paraId="1C7E8016" w14:textId="77777777" w:rsidR="00413B6C" w:rsidRPr="00413B6C" w:rsidRDefault="00413B6C" w:rsidP="00413B6C"/>
    <w:p w14:paraId="1860994E" w14:textId="77777777" w:rsidR="00413B6C" w:rsidRPr="00413B6C" w:rsidRDefault="00413B6C" w:rsidP="00413B6C"/>
    <w:p w14:paraId="2F729F1F" w14:textId="77777777" w:rsidR="00413B6C" w:rsidRPr="00413B6C" w:rsidRDefault="00413B6C" w:rsidP="00413B6C"/>
    <w:p w14:paraId="08772A57" w14:textId="77777777" w:rsidR="00413B6C" w:rsidRPr="00413B6C" w:rsidRDefault="00413B6C" w:rsidP="00413B6C"/>
    <w:p w14:paraId="3AAABE92" w14:textId="77777777" w:rsidR="00413B6C" w:rsidRPr="00413B6C" w:rsidRDefault="00413B6C" w:rsidP="00413B6C"/>
    <w:p w14:paraId="7C0E4851" w14:textId="77777777" w:rsidR="00413B6C" w:rsidRPr="00413B6C" w:rsidRDefault="00413B6C" w:rsidP="00413B6C"/>
    <w:p w14:paraId="56E5E7AF" w14:textId="77777777" w:rsidR="00413B6C" w:rsidRPr="00413B6C" w:rsidRDefault="00413B6C" w:rsidP="00413B6C"/>
    <w:p w14:paraId="13CF1E73" w14:textId="77777777" w:rsidR="00413B6C" w:rsidRPr="00413B6C" w:rsidRDefault="00413B6C" w:rsidP="00413B6C"/>
    <w:p w14:paraId="4245ACFB" w14:textId="77777777" w:rsidR="00413B6C" w:rsidRPr="00413B6C" w:rsidRDefault="00413B6C" w:rsidP="00413B6C"/>
    <w:p w14:paraId="44CBB53A" w14:textId="77777777" w:rsidR="00413B6C" w:rsidRPr="00413B6C" w:rsidRDefault="00413B6C" w:rsidP="00413B6C"/>
    <w:p w14:paraId="159B77A4" w14:textId="77777777" w:rsidR="00413B6C" w:rsidRPr="00413B6C" w:rsidRDefault="00413B6C" w:rsidP="00413B6C"/>
    <w:p w14:paraId="0A0322C0" w14:textId="77777777" w:rsidR="00413B6C" w:rsidRPr="00413B6C" w:rsidRDefault="00413B6C" w:rsidP="00413B6C"/>
    <w:p w14:paraId="2A281B34" w14:textId="77777777" w:rsidR="00413B6C" w:rsidRPr="00413B6C" w:rsidRDefault="00413B6C" w:rsidP="00413B6C"/>
    <w:p w14:paraId="597E605C" w14:textId="77777777" w:rsidR="00413B6C" w:rsidRPr="00413B6C" w:rsidRDefault="00413B6C" w:rsidP="00413B6C"/>
    <w:p w14:paraId="1934D155" w14:textId="77777777" w:rsidR="00413B6C" w:rsidRPr="00413B6C" w:rsidRDefault="00413B6C" w:rsidP="00413B6C"/>
    <w:p w14:paraId="7524368B" w14:textId="77777777" w:rsidR="00413B6C" w:rsidRPr="00413B6C" w:rsidRDefault="00413B6C" w:rsidP="00413B6C"/>
    <w:p w14:paraId="77FD13D0" w14:textId="77777777" w:rsidR="00413B6C" w:rsidRPr="00413B6C" w:rsidRDefault="00413B6C" w:rsidP="00413B6C"/>
    <w:p w14:paraId="4147670D" w14:textId="77777777" w:rsidR="00413B6C" w:rsidRPr="00413B6C" w:rsidRDefault="00413B6C" w:rsidP="00413B6C"/>
    <w:p w14:paraId="74DC6A59" w14:textId="77777777" w:rsidR="00413B6C" w:rsidRPr="00413B6C" w:rsidRDefault="00413B6C" w:rsidP="00413B6C"/>
    <w:p w14:paraId="6EE184D7" w14:textId="77777777" w:rsidR="00413B6C" w:rsidRPr="00413B6C" w:rsidRDefault="00413B6C" w:rsidP="00413B6C"/>
    <w:p w14:paraId="384C9C0A" w14:textId="77777777" w:rsidR="00413B6C" w:rsidRPr="00413B6C" w:rsidRDefault="00413B6C" w:rsidP="00413B6C"/>
    <w:p w14:paraId="35D57C0A" w14:textId="77777777" w:rsidR="00413B6C" w:rsidRPr="00413B6C" w:rsidRDefault="00413B6C" w:rsidP="00413B6C"/>
    <w:p w14:paraId="72740A21" w14:textId="77777777" w:rsidR="00413B6C" w:rsidRPr="00413B6C" w:rsidRDefault="00413B6C" w:rsidP="00413B6C"/>
    <w:p w14:paraId="19D1E43D" w14:textId="77777777" w:rsidR="00413B6C" w:rsidRPr="00413B6C" w:rsidRDefault="00413B6C" w:rsidP="00413B6C"/>
    <w:p w14:paraId="099F610D" w14:textId="77777777" w:rsidR="00413B6C" w:rsidRPr="00413B6C" w:rsidRDefault="00413B6C" w:rsidP="00413B6C"/>
    <w:p w14:paraId="33FBCB00" w14:textId="77777777" w:rsidR="00413B6C" w:rsidRPr="00413B6C" w:rsidRDefault="00413B6C" w:rsidP="00413B6C"/>
    <w:p w14:paraId="028DD70C" w14:textId="77777777" w:rsidR="00413B6C" w:rsidRPr="00413B6C" w:rsidRDefault="00413B6C" w:rsidP="00413B6C"/>
    <w:p w14:paraId="28407107" w14:textId="3E98B288" w:rsidR="00413B6C" w:rsidRDefault="00413B6C" w:rsidP="00413B6C"/>
    <w:p w14:paraId="0305ED44" w14:textId="2637B905" w:rsidR="00DE022E" w:rsidRPr="00413B6C" w:rsidRDefault="00413B6C" w:rsidP="00413B6C">
      <w:pPr>
        <w:tabs>
          <w:tab w:val="left" w:pos="5437"/>
        </w:tabs>
      </w:pPr>
      <w:r>
        <w:tab/>
      </w:r>
    </w:p>
    <w:sectPr w:rsidR="00DE022E" w:rsidRPr="00413B6C" w:rsidSect="00BF0510">
      <w:headerReference w:type="default" r:id="rId14"/>
      <w:footerReference w:type="default" r:id="rId15"/>
      <w:pgSz w:w="11906" w:h="16838" w:code="9"/>
      <w:pgMar w:top="1021" w:right="1021" w:bottom="851" w:left="1021"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76871" w14:textId="77777777" w:rsidR="00913EDA" w:rsidRDefault="00913EDA" w:rsidP="00EB361B">
      <w:r>
        <w:separator/>
      </w:r>
    </w:p>
  </w:endnote>
  <w:endnote w:type="continuationSeparator" w:id="0">
    <w:p w14:paraId="048BCAF4" w14:textId="77777777" w:rsidR="00913EDA" w:rsidRDefault="00913EDA" w:rsidP="00EB3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Pro-SemiCn">
    <w:altName w:val="Myriad Pro SemiCon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AA031" w14:textId="26D965E1" w:rsidR="00913EDA" w:rsidRPr="00E5648A" w:rsidRDefault="00913EDA" w:rsidP="00DE022E">
    <w:pPr>
      <w:pStyle w:val="Footer"/>
    </w:pPr>
    <w:r>
      <w:t>Rat</w:t>
    </w:r>
    <w:r w:rsidR="007669AA">
      <w:t>ing</w:t>
    </w:r>
    <w:r>
      <w:t xml:space="preserve"> Policy                                           </w:t>
    </w:r>
    <w:r w:rsidRPr="00E5648A">
      <w:t xml:space="preserve">    </w:t>
    </w:r>
    <w:r>
      <w:t xml:space="preserve">                                 </w:t>
    </w:r>
    <w:r w:rsidRPr="00E5648A">
      <w:t xml:space="preserve"> </w:t>
    </w:r>
    <w:r>
      <w:t>Version 1.</w:t>
    </w:r>
    <w:r w:rsidR="00413B6C">
      <w:t>1</w:t>
    </w:r>
    <w:r>
      <w:t>.0</w:t>
    </w:r>
    <w:r w:rsidRPr="00E5648A">
      <w:t xml:space="preserve">                            </w:t>
    </w:r>
    <w:r w:rsidRPr="00E5648A">
      <w:tab/>
      <w:t xml:space="preserve">Page </w:t>
    </w:r>
    <w:r w:rsidRPr="00E5648A">
      <w:fldChar w:fldCharType="begin"/>
    </w:r>
    <w:r w:rsidRPr="00E5648A">
      <w:instrText xml:space="preserve"> PAGE   \* MERGEFORMAT </w:instrText>
    </w:r>
    <w:r w:rsidRPr="00E5648A">
      <w:fldChar w:fldCharType="separate"/>
    </w:r>
    <w:r w:rsidR="008443F0">
      <w:rPr>
        <w:noProof/>
      </w:rPr>
      <w:t>14</w:t>
    </w:r>
    <w:r w:rsidRPr="00E5648A">
      <w:fldChar w:fldCharType="end"/>
    </w:r>
    <w:r w:rsidRPr="00E5648A">
      <w:t xml:space="preserve"> of </w:t>
    </w:r>
    <w:fldSimple w:instr=" NUMPAGES   \* MERGEFORMAT ">
      <w:r w:rsidR="008443F0">
        <w:rPr>
          <w:noProof/>
        </w:rPr>
        <w:t>14</w:t>
      </w:r>
    </w:fldSimple>
  </w:p>
  <w:p w14:paraId="01806414" w14:textId="77777777" w:rsidR="00913EDA" w:rsidRDefault="00913E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AD21B" w14:textId="77777777" w:rsidR="00913EDA" w:rsidRDefault="00913EDA" w:rsidP="00EB361B">
      <w:r>
        <w:separator/>
      </w:r>
    </w:p>
  </w:footnote>
  <w:footnote w:type="continuationSeparator" w:id="0">
    <w:p w14:paraId="153EBBAB" w14:textId="77777777" w:rsidR="00913EDA" w:rsidRDefault="00913EDA" w:rsidP="00EB3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393029"/>
      <w:docPartObj>
        <w:docPartGallery w:val="Watermarks"/>
        <w:docPartUnique/>
      </w:docPartObj>
    </w:sdtPr>
    <w:sdtEndPr/>
    <w:sdtContent>
      <w:p w14:paraId="2092C1F7" w14:textId="77777777" w:rsidR="00BD33CE" w:rsidRDefault="008443F0">
        <w:pPr>
          <w:pStyle w:val="Header"/>
        </w:pPr>
        <w:r>
          <w:rPr>
            <w:noProof/>
            <w:lang w:val="en-US"/>
          </w:rPr>
          <w:pict w14:anchorId="5B739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843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B1ADADC"/>
    <w:lvl w:ilvl="0">
      <w:start w:val="1"/>
      <w:numFmt w:val="bullet"/>
      <w:pStyle w:val="Bullet-indent125"/>
      <w:lvlText w:val=""/>
      <w:lvlJc w:val="left"/>
      <w:pPr>
        <w:ind w:left="926" w:hanging="360"/>
      </w:pPr>
      <w:rPr>
        <w:rFonts w:ascii="Wingdings" w:hAnsi="Wingdings" w:hint="default"/>
        <w:b w:val="0"/>
        <w:i w:val="0"/>
        <w:color w:val="auto"/>
        <w:sz w:val="21"/>
        <w:szCs w:val="21"/>
      </w:rPr>
    </w:lvl>
  </w:abstractNum>
  <w:abstractNum w:abstractNumId="1" w15:restartNumberingAfterBreak="0">
    <w:nsid w:val="03C12834"/>
    <w:multiLevelType w:val="hybridMultilevel"/>
    <w:tmpl w:val="086EB148"/>
    <w:lvl w:ilvl="0" w:tplc="BBCAEEC8">
      <w:start w:val="1"/>
      <w:numFmt w:val="decimal"/>
      <w:pStyle w:val="NoSpac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75D56"/>
    <w:multiLevelType w:val="hybridMultilevel"/>
    <w:tmpl w:val="C90A28A2"/>
    <w:lvl w:ilvl="0" w:tplc="213C62CC">
      <w:start w:val="1"/>
      <w:numFmt w:val="bullet"/>
      <w:lvlText w:val="•"/>
      <w:lvlJc w:val="left"/>
      <w:pPr>
        <w:tabs>
          <w:tab w:val="num" w:pos="720"/>
        </w:tabs>
        <w:ind w:left="720" w:hanging="360"/>
      </w:pPr>
      <w:rPr>
        <w:rFonts w:ascii="Arial" w:hAnsi="Arial" w:hint="default"/>
      </w:rPr>
    </w:lvl>
    <w:lvl w:ilvl="1" w:tplc="C30A0000">
      <w:start w:val="302"/>
      <w:numFmt w:val="bullet"/>
      <w:lvlText w:val="•"/>
      <w:lvlJc w:val="left"/>
      <w:pPr>
        <w:tabs>
          <w:tab w:val="num" w:pos="1440"/>
        </w:tabs>
        <w:ind w:left="1440" w:hanging="360"/>
      </w:pPr>
      <w:rPr>
        <w:rFonts w:ascii="Arial" w:hAnsi="Arial" w:hint="default"/>
      </w:rPr>
    </w:lvl>
    <w:lvl w:ilvl="2" w:tplc="68A622C0" w:tentative="1">
      <w:start w:val="1"/>
      <w:numFmt w:val="bullet"/>
      <w:lvlText w:val="•"/>
      <w:lvlJc w:val="left"/>
      <w:pPr>
        <w:tabs>
          <w:tab w:val="num" w:pos="2160"/>
        </w:tabs>
        <w:ind w:left="2160" w:hanging="360"/>
      </w:pPr>
      <w:rPr>
        <w:rFonts w:ascii="Arial" w:hAnsi="Arial" w:hint="default"/>
      </w:rPr>
    </w:lvl>
    <w:lvl w:ilvl="3" w:tplc="69DA3CBE" w:tentative="1">
      <w:start w:val="1"/>
      <w:numFmt w:val="bullet"/>
      <w:lvlText w:val="•"/>
      <w:lvlJc w:val="left"/>
      <w:pPr>
        <w:tabs>
          <w:tab w:val="num" w:pos="2880"/>
        </w:tabs>
        <w:ind w:left="2880" w:hanging="360"/>
      </w:pPr>
      <w:rPr>
        <w:rFonts w:ascii="Arial" w:hAnsi="Arial" w:hint="default"/>
      </w:rPr>
    </w:lvl>
    <w:lvl w:ilvl="4" w:tplc="C526FE18" w:tentative="1">
      <w:start w:val="1"/>
      <w:numFmt w:val="bullet"/>
      <w:lvlText w:val="•"/>
      <w:lvlJc w:val="left"/>
      <w:pPr>
        <w:tabs>
          <w:tab w:val="num" w:pos="3600"/>
        </w:tabs>
        <w:ind w:left="3600" w:hanging="360"/>
      </w:pPr>
      <w:rPr>
        <w:rFonts w:ascii="Arial" w:hAnsi="Arial" w:hint="default"/>
      </w:rPr>
    </w:lvl>
    <w:lvl w:ilvl="5" w:tplc="962A4716" w:tentative="1">
      <w:start w:val="1"/>
      <w:numFmt w:val="bullet"/>
      <w:lvlText w:val="•"/>
      <w:lvlJc w:val="left"/>
      <w:pPr>
        <w:tabs>
          <w:tab w:val="num" w:pos="4320"/>
        </w:tabs>
        <w:ind w:left="4320" w:hanging="360"/>
      </w:pPr>
      <w:rPr>
        <w:rFonts w:ascii="Arial" w:hAnsi="Arial" w:hint="default"/>
      </w:rPr>
    </w:lvl>
    <w:lvl w:ilvl="6" w:tplc="9D5E9DAA" w:tentative="1">
      <w:start w:val="1"/>
      <w:numFmt w:val="bullet"/>
      <w:lvlText w:val="•"/>
      <w:lvlJc w:val="left"/>
      <w:pPr>
        <w:tabs>
          <w:tab w:val="num" w:pos="5040"/>
        </w:tabs>
        <w:ind w:left="5040" w:hanging="360"/>
      </w:pPr>
      <w:rPr>
        <w:rFonts w:ascii="Arial" w:hAnsi="Arial" w:hint="default"/>
      </w:rPr>
    </w:lvl>
    <w:lvl w:ilvl="7" w:tplc="2C762E96" w:tentative="1">
      <w:start w:val="1"/>
      <w:numFmt w:val="bullet"/>
      <w:lvlText w:val="•"/>
      <w:lvlJc w:val="left"/>
      <w:pPr>
        <w:tabs>
          <w:tab w:val="num" w:pos="5760"/>
        </w:tabs>
        <w:ind w:left="5760" w:hanging="360"/>
      </w:pPr>
      <w:rPr>
        <w:rFonts w:ascii="Arial" w:hAnsi="Arial" w:hint="default"/>
      </w:rPr>
    </w:lvl>
    <w:lvl w:ilvl="8" w:tplc="751AC4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1F3516"/>
    <w:multiLevelType w:val="multilevel"/>
    <w:tmpl w:val="8EF60AF0"/>
    <w:lvl w:ilvl="0">
      <w:start w:val="1"/>
      <w:numFmt w:val="decimal"/>
      <w:pStyle w:val="NumberedList1"/>
      <w:lvlText w:val="%1."/>
      <w:lvlJc w:val="left"/>
      <w:pPr>
        <w:ind w:left="360" w:hanging="360"/>
      </w:pPr>
    </w:lvl>
    <w:lvl w:ilvl="1">
      <w:start w:val="1"/>
      <w:numFmt w:val="decimal"/>
      <w:pStyle w:val="NumberedList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8602B1"/>
    <w:multiLevelType w:val="hybridMultilevel"/>
    <w:tmpl w:val="92CC3500"/>
    <w:lvl w:ilvl="0" w:tplc="BD3C1C24">
      <w:start w:val="1"/>
      <w:numFmt w:val="bullet"/>
      <w:pStyle w:val="Bulletssubpoints"/>
      <w:lvlText w:val=""/>
      <w:lvlJc w:val="left"/>
      <w:pPr>
        <w:ind w:left="1342" w:hanging="360"/>
      </w:pPr>
      <w:rPr>
        <w:rFonts w:ascii="Symbol" w:hAnsi="Symbol"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5" w15:restartNumberingAfterBreak="0">
    <w:nsid w:val="4DC36D2C"/>
    <w:multiLevelType w:val="hybridMultilevel"/>
    <w:tmpl w:val="0C5691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629D6F9D"/>
    <w:multiLevelType w:val="hybridMultilevel"/>
    <w:tmpl w:val="460CB8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5162DAF"/>
    <w:multiLevelType w:val="hybridMultilevel"/>
    <w:tmpl w:val="F424CB2E"/>
    <w:lvl w:ilvl="0" w:tplc="290C0D68">
      <w:start w:val="1"/>
      <w:numFmt w:val="decimal"/>
      <w:pStyle w:val="ListParagraph"/>
      <w:lvlText w:val="%1."/>
      <w:lvlJc w:val="left"/>
      <w:pPr>
        <w:ind w:left="6173" w:hanging="360"/>
      </w:pPr>
      <w:rPr>
        <w:rFonts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E916638"/>
    <w:multiLevelType w:val="hybridMultilevel"/>
    <w:tmpl w:val="7E7E221E"/>
    <w:lvl w:ilvl="0" w:tplc="42D0BBCC">
      <w:start w:val="1"/>
      <w:numFmt w:val="bullet"/>
      <w:lvlText w:val="•"/>
      <w:lvlJc w:val="left"/>
      <w:pPr>
        <w:tabs>
          <w:tab w:val="num" w:pos="720"/>
        </w:tabs>
        <w:ind w:left="720" w:hanging="360"/>
      </w:pPr>
      <w:rPr>
        <w:rFonts w:ascii="Arial" w:hAnsi="Arial" w:hint="default"/>
      </w:rPr>
    </w:lvl>
    <w:lvl w:ilvl="1" w:tplc="0F627602">
      <w:start w:val="302"/>
      <w:numFmt w:val="bullet"/>
      <w:lvlText w:val="•"/>
      <w:lvlJc w:val="left"/>
      <w:pPr>
        <w:tabs>
          <w:tab w:val="num" w:pos="1440"/>
        </w:tabs>
        <w:ind w:left="1440" w:hanging="360"/>
      </w:pPr>
      <w:rPr>
        <w:rFonts w:ascii="Arial" w:hAnsi="Arial" w:hint="default"/>
      </w:rPr>
    </w:lvl>
    <w:lvl w:ilvl="2" w:tplc="906C1210" w:tentative="1">
      <w:start w:val="1"/>
      <w:numFmt w:val="bullet"/>
      <w:lvlText w:val="•"/>
      <w:lvlJc w:val="left"/>
      <w:pPr>
        <w:tabs>
          <w:tab w:val="num" w:pos="2160"/>
        </w:tabs>
        <w:ind w:left="2160" w:hanging="360"/>
      </w:pPr>
      <w:rPr>
        <w:rFonts w:ascii="Arial" w:hAnsi="Arial" w:hint="default"/>
      </w:rPr>
    </w:lvl>
    <w:lvl w:ilvl="3" w:tplc="607AB16C" w:tentative="1">
      <w:start w:val="1"/>
      <w:numFmt w:val="bullet"/>
      <w:lvlText w:val="•"/>
      <w:lvlJc w:val="left"/>
      <w:pPr>
        <w:tabs>
          <w:tab w:val="num" w:pos="2880"/>
        </w:tabs>
        <w:ind w:left="2880" w:hanging="360"/>
      </w:pPr>
      <w:rPr>
        <w:rFonts w:ascii="Arial" w:hAnsi="Arial" w:hint="default"/>
      </w:rPr>
    </w:lvl>
    <w:lvl w:ilvl="4" w:tplc="2068951E" w:tentative="1">
      <w:start w:val="1"/>
      <w:numFmt w:val="bullet"/>
      <w:lvlText w:val="•"/>
      <w:lvlJc w:val="left"/>
      <w:pPr>
        <w:tabs>
          <w:tab w:val="num" w:pos="3600"/>
        </w:tabs>
        <w:ind w:left="3600" w:hanging="360"/>
      </w:pPr>
      <w:rPr>
        <w:rFonts w:ascii="Arial" w:hAnsi="Arial" w:hint="default"/>
      </w:rPr>
    </w:lvl>
    <w:lvl w:ilvl="5" w:tplc="06E28240" w:tentative="1">
      <w:start w:val="1"/>
      <w:numFmt w:val="bullet"/>
      <w:lvlText w:val="•"/>
      <w:lvlJc w:val="left"/>
      <w:pPr>
        <w:tabs>
          <w:tab w:val="num" w:pos="4320"/>
        </w:tabs>
        <w:ind w:left="4320" w:hanging="360"/>
      </w:pPr>
      <w:rPr>
        <w:rFonts w:ascii="Arial" w:hAnsi="Arial" w:hint="default"/>
      </w:rPr>
    </w:lvl>
    <w:lvl w:ilvl="6" w:tplc="4A0AF9C6" w:tentative="1">
      <w:start w:val="1"/>
      <w:numFmt w:val="bullet"/>
      <w:lvlText w:val="•"/>
      <w:lvlJc w:val="left"/>
      <w:pPr>
        <w:tabs>
          <w:tab w:val="num" w:pos="5040"/>
        </w:tabs>
        <w:ind w:left="5040" w:hanging="360"/>
      </w:pPr>
      <w:rPr>
        <w:rFonts w:ascii="Arial" w:hAnsi="Arial" w:hint="default"/>
      </w:rPr>
    </w:lvl>
    <w:lvl w:ilvl="7" w:tplc="BBA08F34" w:tentative="1">
      <w:start w:val="1"/>
      <w:numFmt w:val="bullet"/>
      <w:lvlText w:val="•"/>
      <w:lvlJc w:val="left"/>
      <w:pPr>
        <w:tabs>
          <w:tab w:val="num" w:pos="5760"/>
        </w:tabs>
        <w:ind w:left="5760" w:hanging="360"/>
      </w:pPr>
      <w:rPr>
        <w:rFonts w:ascii="Arial" w:hAnsi="Arial" w:hint="default"/>
      </w:rPr>
    </w:lvl>
    <w:lvl w:ilvl="8" w:tplc="3B3835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4"/>
  </w:num>
  <w:num w:numId="4">
    <w:abstractNumId w:val="1"/>
  </w:num>
  <w:num w:numId="5">
    <w:abstractNumId w:val="7"/>
  </w:num>
  <w:num w:numId="6">
    <w:abstractNumId w:val="6"/>
  </w:num>
  <w:num w:numId="7">
    <w:abstractNumId w:val="7"/>
  </w:num>
  <w:num w:numId="8">
    <w:abstractNumId w:val="2"/>
  </w:num>
  <w:num w:numId="9">
    <w:abstractNumId w:val="7"/>
  </w:num>
  <w:num w:numId="10">
    <w:abstractNumId w:val="8"/>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18434"/>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815"/>
    <w:rsid w:val="000075B6"/>
    <w:rsid w:val="00011EEE"/>
    <w:rsid w:val="0002252E"/>
    <w:rsid w:val="00032649"/>
    <w:rsid w:val="00032CAC"/>
    <w:rsid w:val="00055D2E"/>
    <w:rsid w:val="000571A5"/>
    <w:rsid w:val="000675BD"/>
    <w:rsid w:val="00073B33"/>
    <w:rsid w:val="00092661"/>
    <w:rsid w:val="0009654A"/>
    <w:rsid w:val="000972A7"/>
    <w:rsid w:val="00097ADC"/>
    <w:rsid w:val="000A5AD4"/>
    <w:rsid w:val="000C1EC5"/>
    <w:rsid w:val="000C48B0"/>
    <w:rsid w:val="000C5218"/>
    <w:rsid w:val="000C5D85"/>
    <w:rsid w:val="000D2659"/>
    <w:rsid w:val="000F7221"/>
    <w:rsid w:val="000F7EEE"/>
    <w:rsid w:val="0011409E"/>
    <w:rsid w:val="00116124"/>
    <w:rsid w:val="0011756E"/>
    <w:rsid w:val="0012524E"/>
    <w:rsid w:val="00126739"/>
    <w:rsid w:val="001365E8"/>
    <w:rsid w:val="00156EC5"/>
    <w:rsid w:val="00160A87"/>
    <w:rsid w:val="00163D3D"/>
    <w:rsid w:val="00170C30"/>
    <w:rsid w:val="00172674"/>
    <w:rsid w:val="00174E22"/>
    <w:rsid w:val="00175692"/>
    <w:rsid w:val="001805C7"/>
    <w:rsid w:val="00183434"/>
    <w:rsid w:val="0019341E"/>
    <w:rsid w:val="00195B60"/>
    <w:rsid w:val="001A17B2"/>
    <w:rsid w:val="001C24A0"/>
    <w:rsid w:val="001C3EE2"/>
    <w:rsid w:val="001D7758"/>
    <w:rsid w:val="001E195E"/>
    <w:rsid w:val="002059FB"/>
    <w:rsid w:val="00210081"/>
    <w:rsid w:val="00214B5B"/>
    <w:rsid w:val="00215C1F"/>
    <w:rsid w:val="0022275B"/>
    <w:rsid w:val="0022329B"/>
    <w:rsid w:val="00230D93"/>
    <w:rsid w:val="00237716"/>
    <w:rsid w:val="00243924"/>
    <w:rsid w:val="00251B6D"/>
    <w:rsid w:val="00254865"/>
    <w:rsid w:val="00254F74"/>
    <w:rsid w:val="00267223"/>
    <w:rsid w:val="00270D4B"/>
    <w:rsid w:val="0029024B"/>
    <w:rsid w:val="00290E81"/>
    <w:rsid w:val="002B1420"/>
    <w:rsid w:val="002C0962"/>
    <w:rsid w:val="002C4A64"/>
    <w:rsid w:val="002D18A8"/>
    <w:rsid w:val="00301116"/>
    <w:rsid w:val="00320487"/>
    <w:rsid w:val="00320A7B"/>
    <w:rsid w:val="0032256D"/>
    <w:rsid w:val="00327EFE"/>
    <w:rsid w:val="0034154F"/>
    <w:rsid w:val="00350B9D"/>
    <w:rsid w:val="00350EE0"/>
    <w:rsid w:val="003627D3"/>
    <w:rsid w:val="00366D4E"/>
    <w:rsid w:val="00380BFC"/>
    <w:rsid w:val="003831FA"/>
    <w:rsid w:val="00385F7D"/>
    <w:rsid w:val="0039612B"/>
    <w:rsid w:val="003A12B8"/>
    <w:rsid w:val="003A1E3B"/>
    <w:rsid w:val="003C6886"/>
    <w:rsid w:val="003E4FB1"/>
    <w:rsid w:val="003E5B87"/>
    <w:rsid w:val="003F3AC4"/>
    <w:rsid w:val="00413B6C"/>
    <w:rsid w:val="00414E92"/>
    <w:rsid w:val="0042171C"/>
    <w:rsid w:val="0042586F"/>
    <w:rsid w:val="0042610B"/>
    <w:rsid w:val="004423E5"/>
    <w:rsid w:val="00444D24"/>
    <w:rsid w:val="004555CC"/>
    <w:rsid w:val="00455FFB"/>
    <w:rsid w:val="004567B4"/>
    <w:rsid w:val="00467533"/>
    <w:rsid w:val="00467A47"/>
    <w:rsid w:val="0047682E"/>
    <w:rsid w:val="004801EE"/>
    <w:rsid w:val="004878B7"/>
    <w:rsid w:val="00496321"/>
    <w:rsid w:val="004C322E"/>
    <w:rsid w:val="004C6291"/>
    <w:rsid w:val="004D4684"/>
    <w:rsid w:val="004E3D62"/>
    <w:rsid w:val="004E5C74"/>
    <w:rsid w:val="00513CFA"/>
    <w:rsid w:val="00520A75"/>
    <w:rsid w:val="00521EFB"/>
    <w:rsid w:val="00526684"/>
    <w:rsid w:val="005324D0"/>
    <w:rsid w:val="0055716E"/>
    <w:rsid w:val="00562041"/>
    <w:rsid w:val="00562060"/>
    <w:rsid w:val="005674A5"/>
    <w:rsid w:val="005752BE"/>
    <w:rsid w:val="00581C3A"/>
    <w:rsid w:val="00590D1C"/>
    <w:rsid w:val="00597B50"/>
    <w:rsid w:val="005A7B94"/>
    <w:rsid w:val="005B44DC"/>
    <w:rsid w:val="005C56EF"/>
    <w:rsid w:val="005D6804"/>
    <w:rsid w:val="005E37FB"/>
    <w:rsid w:val="005E7B49"/>
    <w:rsid w:val="005F4D30"/>
    <w:rsid w:val="005F6FEB"/>
    <w:rsid w:val="00600621"/>
    <w:rsid w:val="0060585E"/>
    <w:rsid w:val="00607537"/>
    <w:rsid w:val="00607EC2"/>
    <w:rsid w:val="00634B37"/>
    <w:rsid w:val="006354E8"/>
    <w:rsid w:val="00642B93"/>
    <w:rsid w:val="00645A5C"/>
    <w:rsid w:val="00647B35"/>
    <w:rsid w:val="00653EBD"/>
    <w:rsid w:val="0065502F"/>
    <w:rsid w:val="00656C0D"/>
    <w:rsid w:val="006657E6"/>
    <w:rsid w:val="0068146A"/>
    <w:rsid w:val="006923C0"/>
    <w:rsid w:val="006B0B2B"/>
    <w:rsid w:val="006B53DB"/>
    <w:rsid w:val="006C40DB"/>
    <w:rsid w:val="006C4CFA"/>
    <w:rsid w:val="006D3DDC"/>
    <w:rsid w:val="006E5BB1"/>
    <w:rsid w:val="006F7A5B"/>
    <w:rsid w:val="007051A4"/>
    <w:rsid w:val="00715546"/>
    <w:rsid w:val="00716580"/>
    <w:rsid w:val="00724815"/>
    <w:rsid w:val="0072600E"/>
    <w:rsid w:val="00732924"/>
    <w:rsid w:val="00742018"/>
    <w:rsid w:val="007462EA"/>
    <w:rsid w:val="007540F3"/>
    <w:rsid w:val="00755854"/>
    <w:rsid w:val="007669AA"/>
    <w:rsid w:val="0076724A"/>
    <w:rsid w:val="007840CD"/>
    <w:rsid w:val="00793E8F"/>
    <w:rsid w:val="00795047"/>
    <w:rsid w:val="00797E9A"/>
    <w:rsid w:val="007A3DD5"/>
    <w:rsid w:val="007A7887"/>
    <w:rsid w:val="007E2B8D"/>
    <w:rsid w:val="007F080B"/>
    <w:rsid w:val="007F0BB7"/>
    <w:rsid w:val="00810EAC"/>
    <w:rsid w:val="008135E4"/>
    <w:rsid w:val="00813C65"/>
    <w:rsid w:val="008443F0"/>
    <w:rsid w:val="00845AAF"/>
    <w:rsid w:val="00847AA1"/>
    <w:rsid w:val="008520A1"/>
    <w:rsid w:val="00853F59"/>
    <w:rsid w:val="008752CB"/>
    <w:rsid w:val="00886A05"/>
    <w:rsid w:val="00896F3C"/>
    <w:rsid w:val="008A27A7"/>
    <w:rsid w:val="008A7469"/>
    <w:rsid w:val="008B016D"/>
    <w:rsid w:val="008C5D53"/>
    <w:rsid w:val="008D70F9"/>
    <w:rsid w:val="008E08F8"/>
    <w:rsid w:val="0091232E"/>
    <w:rsid w:val="00913EDA"/>
    <w:rsid w:val="009156CB"/>
    <w:rsid w:val="00934CC3"/>
    <w:rsid w:val="0095424C"/>
    <w:rsid w:val="00954DB7"/>
    <w:rsid w:val="00963F29"/>
    <w:rsid w:val="00970194"/>
    <w:rsid w:val="00990C03"/>
    <w:rsid w:val="00995B6C"/>
    <w:rsid w:val="00996436"/>
    <w:rsid w:val="009A12C2"/>
    <w:rsid w:val="009A2C1D"/>
    <w:rsid w:val="009B44EB"/>
    <w:rsid w:val="009C368F"/>
    <w:rsid w:val="009C4C3C"/>
    <w:rsid w:val="009D35E6"/>
    <w:rsid w:val="009D6F8E"/>
    <w:rsid w:val="009E093C"/>
    <w:rsid w:val="009E3210"/>
    <w:rsid w:val="00A20567"/>
    <w:rsid w:val="00A32A97"/>
    <w:rsid w:val="00A460C5"/>
    <w:rsid w:val="00A46AFB"/>
    <w:rsid w:val="00A51F15"/>
    <w:rsid w:val="00A72FCE"/>
    <w:rsid w:val="00A737CD"/>
    <w:rsid w:val="00A81135"/>
    <w:rsid w:val="00A909D8"/>
    <w:rsid w:val="00A92887"/>
    <w:rsid w:val="00A93564"/>
    <w:rsid w:val="00A94EFE"/>
    <w:rsid w:val="00AA3767"/>
    <w:rsid w:val="00AA64B6"/>
    <w:rsid w:val="00AC2B0E"/>
    <w:rsid w:val="00AC67A0"/>
    <w:rsid w:val="00AD5F7F"/>
    <w:rsid w:val="00AE2233"/>
    <w:rsid w:val="00AE7D20"/>
    <w:rsid w:val="00AF110E"/>
    <w:rsid w:val="00AF2292"/>
    <w:rsid w:val="00B01775"/>
    <w:rsid w:val="00B10B40"/>
    <w:rsid w:val="00B1171A"/>
    <w:rsid w:val="00B1174A"/>
    <w:rsid w:val="00B16A21"/>
    <w:rsid w:val="00B24B13"/>
    <w:rsid w:val="00B30155"/>
    <w:rsid w:val="00B333ED"/>
    <w:rsid w:val="00B550EF"/>
    <w:rsid w:val="00B60FBE"/>
    <w:rsid w:val="00B62930"/>
    <w:rsid w:val="00B70EF7"/>
    <w:rsid w:val="00B74005"/>
    <w:rsid w:val="00B80FCA"/>
    <w:rsid w:val="00B824AF"/>
    <w:rsid w:val="00B87695"/>
    <w:rsid w:val="00BA7F6B"/>
    <w:rsid w:val="00BB0880"/>
    <w:rsid w:val="00BC09DF"/>
    <w:rsid w:val="00BC49E5"/>
    <w:rsid w:val="00BD33CE"/>
    <w:rsid w:val="00BE14DC"/>
    <w:rsid w:val="00BE52BF"/>
    <w:rsid w:val="00BF0510"/>
    <w:rsid w:val="00BF6782"/>
    <w:rsid w:val="00C11322"/>
    <w:rsid w:val="00C121D4"/>
    <w:rsid w:val="00C13286"/>
    <w:rsid w:val="00C145BD"/>
    <w:rsid w:val="00C16887"/>
    <w:rsid w:val="00C224C9"/>
    <w:rsid w:val="00C27034"/>
    <w:rsid w:val="00C27256"/>
    <w:rsid w:val="00C37AB3"/>
    <w:rsid w:val="00C50DE2"/>
    <w:rsid w:val="00C56B17"/>
    <w:rsid w:val="00C60656"/>
    <w:rsid w:val="00C6496F"/>
    <w:rsid w:val="00C81E62"/>
    <w:rsid w:val="00C8503A"/>
    <w:rsid w:val="00CC082B"/>
    <w:rsid w:val="00CC347E"/>
    <w:rsid w:val="00CD7191"/>
    <w:rsid w:val="00CE757F"/>
    <w:rsid w:val="00CF467E"/>
    <w:rsid w:val="00D24BD2"/>
    <w:rsid w:val="00D25DDD"/>
    <w:rsid w:val="00D36401"/>
    <w:rsid w:val="00D37AB9"/>
    <w:rsid w:val="00D460E4"/>
    <w:rsid w:val="00D66C6C"/>
    <w:rsid w:val="00D66D73"/>
    <w:rsid w:val="00D82969"/>
    <w:rsid w:val="00D82AFA"/>
    <w:rsid w:val="00D95B98"/>
    <w:rsid w:val="00DA0502"/>
    <w:rsid w:val="00DC0B3E"/>
    <w:rsid w:val="00DC11DA"/>
    <w:rsid w:val="00DC3043"/>
    <w:rsid w:val="00DD3668"/>
    <w:rsid w:val="00DD38A5"/>
    <w:rsid w:val="00DD6F8F"/>
    <w:rsid w:val="00DE022E"/>
    <w:rsid w:val="00DF2CA0"/>
    <w:rsid w:val="00DF7C37"/>
    <w:rsid w:val="00E024FC"/>
    <w:rsid w:val="00E16922"/>
    <w:rsid w:val="00E1757A"/>
    <w:rsid w:val="00E23C6C"/>
    <w:rsid w:val="00E25B51"/>
    <w:rsid w:val="00E311FF"/>
    <w:rsid w:val="00E31248"/>
    <w:rsid w:val="00E3430F"/>
    <w:rsid w:val="00E5648A"/>
    <w:rsid w:val="00E57F5C"/>
    <w:rsid w:val="00E668F5"/>
    <w:rsid w:val="00E71827"/>
    <w:rsid w:val="00E719B7"/>
    <w:rsid w:val="00E756BB"/>
    <w:rsid w:val="00E86EAD"/>
    <w:rsid w:val="00E95D62"/>
    <w:rsid w:val="00EA4CCD"/>
    <w:rsid w:val="00EB361B"/>
    <w:rsid w:val="00EB78ED"/>
    <w:rsid w:val="00EC51FF"/>
    <w:rsid w:val="00EC53C5"/>
    <w:rsid w:val="00ED1A0D"/>
    <w:rsid w:val="00EF1F00"/>
    <w:rsid w:val="00F07CF2"/>
    <w:rsid w:val="00F34D51"/>
    <w:rsid w:val="00F62D19"/>
    <w:rsid w:val="00F65350"/>
    <w:rsid w:val="00F7209A"/>
    <w:rsid w:val="00F732AE"/>
    <w:rsid w:val="00F80746"/>
    <w:rsid w:val="00F813C0"/>
    <w:rsid w:val="00F8223B"/>
    <w:rsid w:val="00F84951"/>
    <w:rsid w:val="00F9468F"/>
    <w:rsid w:val="00F9735A"/>
    <w:rsid w:val="00FB265A"/>
    <w:rsid w:val="00FB571E"/>
    <w:rsid w:val="00FC704A"/>
    <w:rsid w:val="00FD68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14:docId w14:val="0FEC694C"/>
  <w15:docId w15:val="{85B5FE2F-B061-4F1C-8CAE-DF30508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w:eastAsia="Calibri" w:hAnsi="Lucida Sans"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95E"/>
    <w:pPr>
      <w:spacing w:after="120" w:line="269" w:lineRule="auto"/>
      <w:jc w:val="both"/>
    </w:pPr>
    <w:rPr>
      <w:rFonts w:ascii="Arial" w:hAnsi="Arial"/>
      <w:color w:val="343E48" w:themeColor="text1"/>
      <w:sz w:val="21"/>
      <w:szCs w:val="21"/>
      <w:lang w:eastAsia="en-US"/>
    </w:rPr>
  </w:style>
  <w:style w:type="paragraph" w:styleId="Heading1">
    <w:name w:val="heading 1"/>
    <w:basedOn w:val="Normal"/>
    <w:next w:val="Normal"/>
    <w:link w:val="Heading1Char"/>
    <w:autoRedefine/>
    <w:qFormat/>
    <w:rsid w:val="00E5648A"/>
    <w:pPr>
      <w:spacing w:before="240"/>
      <w:jc w:val="left"/>
      <w:outlineLvl w:val="0"/>
    </w:pPr>
    <w:rPr>
      <w:rFonts w:asciiTheme="majorHAnsi" w:hAnsiTheme="majorHAnsi"/>
      <w:b/>
      <w:sz w:val="28"/>
      <w:szCs w:val="32"/>
    </w:rPr>
  </w:style>
  <w:style w:type="paragraph" w:styleId="Heading2">
    <w:name w:val="heading 2"/>
    <w:basedOn w:val="Normal"/>
    <w:next w:val="Normal"/>
    <w:link w:val="Heading2Char"/>
    <w:uiPriority w:val="9"/>
    <w:unhideWhenUsed/>
    <w:rsid w:val="00EB361B"/>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E668F5"/>
    <w:pPr>
      <w:keepNext/>
      <w:keepLines/>
      <w:spacing w:before="40" w:after="0"/>
      <w:outlineLvl w:val="2"/>
    </w:pPr>
    <w:rPr>
      <w:rFonts w:asciiTheme="majorHAnsi" w:eastAsiaTheme="majorEastAsia" w:hAnsiTheme="majorHAnsi" w:cstheme="majorBidi"/>
      <w:color w:val="844A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648A"/>
    <w:rPr>
      <w:rFonts w:asciiTheme="majorHAnsi" w:hAnsiTheme="majorHAnsi"/>
      <w:b/>
      <w:color w:val="343E48" w:themeColor="text1"/>
      <w:sz w:val="28"/>
      <w:szCs w:val="32"/>
      <w:lang w:eastAsia="en-US"/>
    </w:rPr>
  </w:style>
  <w:style w:type="character" w:customStyle="1" w:styleId="Heading2Char">
    <w:name w:val="Heading 2 Char"/>
    <w:link w:val="Heading2"/>
    <w:uiPriority w:val="9"/>
    <w:rsid w:val="00EB361B"/>
    <w:rPr>
      <w:rFonts w:ascii="Cambria" w:eastAsia="Times New Roman" w:hAnsi="Cambria" w:cs="Times New Roman"/>
      <w:b/>
      <w:bCs/>
      <w:color w:val="4F81BD"/>
      <w:sz w:val="26"/>
      <w:szCs w:val="26"/>
    </w:rPr>
  </w:style>
  <w:style w:type="table" w:styleId="TableGrid">
    <w:name w:val="Table Grid"/>
    <w:basedOn w:val="TableNormal"/>
    <w:uiPriority w:val="59"/>
    <w:rsid w:val="00EB3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361B"/>
    <w:pPr>
      <w:tabs>
        <w:tab w:val="center" w:pos="4513"/>
        <w:tab w:val="right" w:pos="9026"/>
      </w:tabs>
    </w:pPr>
  </w:style>
  <w:style w:type="character" w:customStyle="1" w:styleId="HeaderChar">
    <w:name w:val="Header Char"/>
    <w:basedOn w:val="DefaultParagraphFont"/>
    <w:link w:val="Header"/>
    <w:uiPriority w:val="99"/>
    <w:rsid w:val="00EB361B"/>
  </w:style>
  <w:style w:type="paragraph" w:styleId="Footer">
    <w:name w:val="footer"/>
    <w:basedOn w:val="Normal"/>
    <w:link w:val="FooterChar"/>
    <w:autoRedefine/>
    <w:uiPriority w:val="99"/>
    <w:unhideWhenUsed/>
    <w:rsid w:val="00DE022E"/>
    <w:pPr>
      <w:pBdr>
        <w:top w:val="single" w:sz="2" w:space="0" w:color="auto"/>
      </w:pBdr>
      <w:tabs>
        <w:tab w:val="right" w:pos="9869"/>
      </w:tabs>
      <w:jc w:val="left"/>
    </w:pPr>
    <w:rPr>
      <w:rFonts w:cs="Arial"/>
      <w:sz w:val="16"/>
      <w:szCs w:val="18"/>
    </w:rPr>
  </w:style>
  <w:style w:type="character" w:customStyle="1" w:styleId="FooterChar">
    <w:name w:val="Footer Char"/>
    <w:link w:val="Footer"/>
    <w:uiPriority w:val="99"/>
    <w:rsid w:val="00DE022E"/>
    <w:rPr>
      <w:rFonts w:ascii="Arial" w:hAnsi="Arial" w:cs="Arial"/>
      <w:color w:val="343E48" w:themeColor="text1"/>
      <w:sz w:val="16"/>
      <w:szCs w:val="18"/>
      <w:lang w:eastAsia="en-US"/>
    </w:rPr>
  </w:style>
  <w:style w:type="paragraph" w:customStyle="1" w:styleId="Normal-10pt">
    <w:name w:val="Normal - 10pt"/>
    <w:basedOn w:val="Normal"/>
    <w:autoRedefine/>
    <w:rsid w:val="00E5648A"/>
    <w:rPr>
      <w:rFonts w:asciiTheme="minorHAnsi" w:hAnsiTheme="minorHAnsi"/>
    </w:rPr>
  </w:style>
  <w:style w:type="paragraph" w:styleId="List">
    <w:name w:val="List"/>
    <w:basedOn w:val="Normal"/>
    <w:uiPriority w:val="99"/>
    <w:unhideWhenUsed/>
    <w:rsid w:val="00EB361B"/>
    <w:pPr>
      <w:ind w:left="283" w:hanging="283"/>
      <w:contextualSpacing/>
    </w:pPr>
  </w:style>
  <w:style w:type="paragraph" w:customStyle="1" w:styleId="NumberedList1">
    <w:name w:val="Numbered List 1"/>
    <w:basedOn w:val="Normal"/>
    <w:next w:val="NumberedList3"/>
    <w:qFormat/>
    <w:rsid w:val="00AF2292"/>
    <w:pPr>
      <w:numPr>
        <w:numId w:val="2"/>
      </w:numPr>
      <w:ind w:left="709" w:hanging="709"/>
      <w:contextualSpacing/>
    </w:pPr>
    <w:rPr>
      <w:rFonts w:ascii="Calibri" w:hAnsi="Calibri"/>
      <w:b/>
      <w:sz w:val="24"/>
      <w:szCs w:val="20"/>
    </w:rPr>
  </w:style>
  <w:style w:type="paragraph" w:customStyle="1" w:styleId="NumberedList3">
    <w:name w:val="Numbered List 3"/>
    <w:basedOn w:val="NumberedList1"/>
    <w:qFormat/>
    <w:rsid w:val="00AF2292"/>
    <w:pPr>
      <w:numPr>
        <w:ilvl w:val="1"/>
      </w:numPr>
      <w:spacing w:before="160"/>
      <w:ind w:left="709" w:hanging="709"/>
      <w:contextualSpacing w:val="0"/>
    </w:pPr>
    <w:rPr>
      <w:b w:val="0"/>
      <w:sz w:val="22"/>
    </w:rPr>
  </w:style>
  <w:style w:type="character" w:customStyle="1" w:styleId="PolicyName">
    <w:name w:val="Policy Name"/>
    <w:uiPriority w:val="1"/>
    <w:qFormat/>
    <w:rsid w:val="001E195E"/>
    <w:rPr>
      <w:rFonts w:asciiTheme="majorHAnsi" w:hAnsiTheme="majorHAnsi"/>
      <w:b/>
      <w:sz w:val="32"/>
    </w:rPr>
  </w:style>
  <w:style w:type="paragraph" w:customStyle="1" w:styleId="Bullet-indent125">
    <w:name w:val="Bullet - indent 1.25"/>
    <w:basedOn w:val="Normal"/>
    <w:rsid w:val="00C11322"/>
    <w:pPr>
      <w:numPr>
        <w:numId w:val="1"/>
      </w:numPr>
      <w:spacing w:before="120"/>
      <w:ind w:left="993" w:hanging="284"/>
    </w:pPr>
  </w:style>
  <w:style w:type="paragraph" w:customStyle="1" w:styleId="BodyTextGrey">
    <w:name w:val="• Body Text Grey"/>
    <w:basedOn w:val="Normal"/>
    <w:link w:val="BodyTextGreyChar"/>
    <w:uiPriority w:val="99"/>
    <w:rsid w:val="006F7A5B"/>
    <w:pPr>
      <w:widowControl w:val="0"/>
      <w:suppressAutoHyphens/>
      <w:autoSpaceDE w:val="0"/>
      <w:autoSpaceDN w:val="0"/>
      <w:adjustRightInd w:val="0"/>
      <w:spacing w:before="120" w:after="113" w:line="240" w:lineRule="atLeast"/>
      <w:textAlignment w:val="center"/>
    </w:pPr>
    <w:rPr>
      <w:rFonts w:ascii="MyriadPro-SemiCn" w:eastAsia="Cambria" w:hAnsi="MyriadPro-SemiCn" w:cs="MyriadPro-SemiCn"/>
      <w:color w:val="000000"/>
      <w:szCs w:val="20"/>
      <w:lang w:val="en-GB"/>
    </w:rPr>
  </w:style>
  <w:style w:type="character" w:customStyle="1" w:styleId="BodyTextGreyChar">
    <w:name w:val="• Body Text Grey Char"/>
    <w:link w:val="BodyTextGrey"/>
    <w:uiPriority w:val="99"/>
    <w:rsid w:val="006F7A5B"/>
    <w:rPr>
      <w:rFonts w:ascii="MyriadPro-SemiCn" w:eastAsia="Cambria" w:hAnsi="MyriadPro-SemiCn" w:cs="MyriadPro-SemiCn"/>
      <w:color w:val="000000"/>
      <w:sz w:val="20"/>
      <w:szCs w:val="20"/>
      <w:lang w:val="en-GB"/>
    </w:rPr>
  </w:style>
  <w:style w:type="paragraph" w:customStyle="1" w:styleId="Subhead2Blue">
    <w:name w:val="• Subhead 2 Blue"/>
    <w:basedOn w:val="Normal"/>
    <w:uiPriority w:val="99"/>
    <w:rsid w:val="00BE14DC"/>
    <w:pPr>
      <w:widowControl w:val="0"/>
      <w:suppressAutoHyphens/>
      <w:autoSpaceDE w:val="0"/>
      <w:autoSpaceDN w:val="0"/>
      <w:adjustRightInd w:val="0"/>
      <w:spacing w:before="113" w:after="113" w:line="360" w:lineRule="atLeast"/>
      <w:textAlignment w:val="center"/>
    </w:pPr>
    <w:rPr>
      <w:rFonts w:ascii="MyriadPro-SemiCn" w:eastAsia="Cambria" w:hAnsi="MyriadPro-SemiCn" w:cs="MyriadPro-SemiCn"/>
      <w:color w:val="7FB3CD"/>
      <w:sz w:val="32"/>
      <w:szCs w:val="32"/>
      <w:lang w:val="en-GB"/>
    </w:rPr>
  </w:style>
  <w:style w:type="paragraph" w:styleId="BalloonText">
    <w:name w:val="Balloon Text"/>
    <w:basedOn w:val="Normal"/>
    <w:link w:val="BalloonTextChar"/>
    <w:uiPriority w:val="99"/>
    <w:semiHidden/>
    <w:unhideWhenUsed/>
    <w:rsid w:val="00467A47"/>
    <w:rPr>
      <w:rFonts w:ascii="Tahoma" w:hAnsi="Tahoma" w:cs="Tahoma"/>
      <w:sz w:val="16"/>
      <w:szCs w:val="16"/>
    </w:rPr>
  </w:style>
  <w:style w:type="character" w:customStyle="1" w:styleId="BalloonTextChar">
    <w:name w:val="Balloon Text Char"/>
    <w:link w:val="BalloonText"/>
    <w:uiPriority w:val="99"/>
    <w:semiHidden/>
    <w:rsid w:val="00467A47"/>
    <w:rPr>
      <w:rFonts w:ascii="Tahoma" w:hAnsi="Tahoma" w:cs="Tahoma"/>
      <w:sz w:val="16"/>
      <w:szCs w:val="16"/>
    </w:rPr>
  </w:style>
  <w:style w:type="paragraph" w:customStyle="1" w:styleId="Bulletssubpoints">
    <w:name w:val="Bullets subpoints"/>
    <w:basedOn w:val="Bullet-indent125"/>
    <w:autoRedefine/>
    <w:qFormat/>
    <w:rsid w:val="006C4CFA"/>
    <w:pPr>
      <w:numPr>
        <w:numId w:val="3"/>
      </w:numPr>
      <w:tabs>
        <w:tab w:val="left" w:pos="1276"/>
      </w:tabs>
      <w:spacing w:before="0"/>
    </w:pPr>
    <w:rPr>
      <w:rFonts w:asciiTheme="minorHAnsi" w:hAnsiTheme="minorHAnsi"/>
      <w:color w:val="auto"/>
      <w:sz w:val="22"/>
    </w:rPr>
  </w:style>
  <w:style w:type="character" w:styleId="PlaceholderText">
    <w:name w:val="Placeholder Text"/>
    <w:uiPriority w:val="99"/>
    <w:semiHidden/>
    <w:rsid w:val="00366D4E"/>
    <w:rPr>
      <w:color w:val="808080"/>
    </w:rPr>
  </w:style>
  <w:style w:type="paragraph" w:customStyle="1" w:styleId="Instruction">
    <w:name w:val="Instruction"/>
    <w:basedOn w:val="Normal"/>
    <w:next w:val="BodyText"/>
    <w:rsid w:val="00301116"/>
    <w:pPr>
      <w:keepNext/>
      <w:spacing w:line="288" w:lineRule="auto"/>
      <w:ind w:left="567"/>
      <w:jc w:val="left"/>
    </w:pPr>
    <w:rPr>
      <w:rFonts w:eastAsia="Times New Roman"/>
      <w:i/>
      <w:color w:val="0000FF"/>
      <w:szCs w:val="24"/>
    </w:rPr>
  </w:style>
  <w:style w:type="paragraph" w:styleId="BodyText">
    <w:name w:val="Body Text"/>
    <w:basedOn w:val="Normal"/>
    <w:link w:val="BodyTextChar"/>
    <w:uiPriority w:val="99"/>
    <w:semiHidden/>
    <w:unhideWhenUsed/>
    <w:rsid w:val="00301116"/>
  </w:style>
  <w:style w:type="character" w:customStyle="1" w:styleId="BodyTextChar">
    <w:name w:val="Body Text Char"/>
    <w:link w:val="BodyText"/>
    <w:uiPriority w:val="99"/>
    <w:semiHidden/>
    <w:rsid w:val="00301116"/>
    <w:rPr>
      <w:rFonts w:ascii="Calibri" w:hAnsi="Calibri"/>
      <w:sz w:val="22"/>
    </w:rPr>
  </w:style>
  <w:style w:type="paragraph" w:styleId="NoSpacing">
    <w:name w:val="No Spacing"/>
    <w:aliases w:val="Numbered List 2"/>
    <w:basedOn w:val="NumberedList1"/>
    <w:next w:val="NumberedList3"/>
    <w:uiPriority w:val="1"/>
    <w:qFormat/>
    <w:rsid w:val="0091232E"/>
    <w:pPr>
      <w:numPr>
        <w:numId w:val="4"/>
      </w:numPr>
      <w:spacing w:before="160"/>
      <w:ind w:left="709" w:hanging="709"/>
      <w:contextualSpacing w:val="0"/>
    </w:pPr>
    <w:rPr>
      <w:b w:val="0"/>
      <w:sz w:val="20"/>
    </w:rPr>
  </w:style>
  <w:style w:type="table" w:customStyle="1" w:styleId="TableGrid1">
    <w:name w:val="Table Grid1"/>
    <w:basedOn w:val="TableNormal"/>
    <w:next w:val="TableGrid"/>
    <w:uiPriority w:val="59"/>
    <w:rsid w:val="000571A5"/>
    <w:pPr>
      <w:jc w:val="both"/>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71A5"/>
    <w:pPr>
      <w:jc w:val="both"/>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7887"/>
    <w:rPr>
      <w:sz w:val="16"/>
      <w:szCs w:val="16"/>
    </w:rPr>
  </w:style>
  <w:style w:type="paragraph" w:styleId="CommentText">
    <w:name w:val="annotation text"/>
    <w:basedOn w:val="Normal"/>
    <w:link w:val="CommentTextChar"/>
    <w:uiPriority w:val="99"/>
    <w:semiHidden/>
    <w:unhideWhenUsed/>
    <w:rsid w:val="007A7887"/>
    <w:rPr>
      <w:szCs w:val="20"/>
    </w:rPr>
  </w:style>
  <w:style w:type="character" w:customStyle="1" w:styleId="CommentTextChar">
    <w:name w:val="Comment Text Char"/>
    <w:basedOn w:val="DefaultParagraphFont"/>
    <w:link w:val="CommentText"/>
    <w:uiPriority w:val="99"/>
    <w:semiHidden/>
    <w:rsid w:val="007A7887"/>
    <w:rPr>
      <w:lang w:eastAsia="en-US"/>
    </w:rPr>
  </w:style>
  <w:style w:type="paragraph" w:styleId="CommentSubject">
    <w:name w:val="annotation subject"/>
    <w:basedOn w:val="CommentText"/>
    <w:next w:val="CommentText"/>
    <w:link w:val="CommentSubjectChar"/>
    <w:uiPriority w:val="99"/>
    <w:semiHidden/>
    <w:unhideWhenUsed/>
    <w:rsid w:val="007A7887"/>
    <w:rPr>
      <w:b/>
      <w:bCs/>
    </w:rPr>
  </w:style>
  <w:style w:type="character" w:customStyle="1" w:styleId="CommentSubjectChar">
    <w:name w:val="Comment Subject Char"/>
    <w:basedOn w:val="CommentTextChar"/>
    <w:link w:val="CommentSubject"/>
    <w:uiPriority w:val="99"/>
    <w:semiHidden/>
    <w:rsid w:val="007A7887"/>
    <w:rPr>
      <w:b/>
      <w:bCs/>
      <w:lang w:eastAsia="en-US"/>
    </w:rPr>
  </w:style>
  <w:style w:type="character" w:styleId="Hyperlink">
    <w:name w:val="Hyperlink"/>
    <w:basedOn w:val="DefaultParagraphFont"/>
    <w:uiPriority w:val="99"/>
    <w:unhideWhenUsed/>
    <w:rsid w:val="00AC67A0"/>
    <w:rPr>
      <w:color w:val="43B4E3" w:themeColor="hyperlink"/>
      <w:u w:val="single"/>
    </w:rPr>
  </w:style>
  <w:style w:type="paragraph" w:customStyle="1" w:styleId="Default">
    <w:name w:val="Default"/>
    <w:rsid w:val="00755854"/>
    <w:pPr>
      <w:autoSpaceDE w:val="0"/>
      <w:autoSpaceDN w:val="0"/>
      <w:adjustRightInd w:val="0"/>
    </w:pPr>
    <w:rPr>
      <w:rFonts w:ascii="Roboto" w:hAnsi="Roboto" w:cs="Roboto"/>
      <w:color w:val="000000"/>
      <w:sz w:val="24"/>
      <w:szCs w:val="24"/>
    </w:rPr>
  </w:style>
  <w:style w:type="paragraph" w:styleId="ListParagraph">
    <w:name w:val="List Paragraph"/>
    <w:basedOn w:val="Normal"/>
    <w:uiPriority w:val="34"/>
    <w:qFormat/>
    <w:rsid w:val="001E195E"/>
    <w:pPr>
      <w:numPr>
        <w:numId w:val="5"/>
      </w:numPr>
      <w:spacing w:before="120"/>
      <w:contextualSpacing/>
    </w:pPr>
    <w:rPr>
      <w:rFonts w:asciiTheme="minorHAnsi" w:hAnsiTheme="minorHAnsi"/>
      <w:b/>
      <w:sz w:val="24"/>
      <w:szCs w:val="22"/>
    </w:rPr>
  </w:style>
  <w:style w:type="paragraph" w:customStyle="1" w:styleId="Pa4">
    <w:name w:val="Pa4"/>
    <w:basedOn w:val="Default"/>
    <w:next w:val="Default"/>
    <w:uiPriority w:val="99"/>
    <w:rsid w:val="00B60FBE"/>
    <w:pPr>
      <w:spacing w:line="181" w:lineRule="atLeast"/>
    </w:pPr>
    <w:rPr>
      <w:rFonts w:cs="Times New Roman"/>
      <w:color w:val="auto"/>
    </w:rPr>
  </w:style>
  <w:style w:type="paragraph" w:customStyle="1" w:styleId="MainTextforLTP">
    <w:name w:val="Main Text for LTP"/>
    <w:basedOn w:val="Normal"/>
    <w:uiPriority w:val="99"/>
    <w:rsid w:val="001E195E"/>
    <w:pPr>
      <w:keepLines/>
      <w:suppressAutoHyphens/>
      <w:autoSpaceDE w:val="0"/>
      <w:autoSpaceDN w:val="0"/>
      <w:adjustRightInd w:val="0"/>
      <w:spacing w:before="57" w:after="113" w:line="260" w:lineRule="atLeast"/>
      <w:ind w:left="28" w:right="57"/>
      <w:textAlignment w:val="center"/>
    </w:pPr>
    <w:rPr>
      <w:rFonts w:ascii="Roboto" w:hAnsi="Roboto" w:cs="Roboto"/>
      <w:color w:val="323E47"/>
      <w:sz w:val="19"/>
      <w:szCs w:val="19"/>
      <w:lang w:val="en-GB" w:eastAsia="en-NZ"/>
    </w:rPr>
  </w:style>
  <w:style w:type="paragraph" w:customStyle="1" w:styleId="Heading2orangewnumbering">
    <w:name w:val="Heading 2 orange w/numbering"/>
    <w:basedOn w:val="Normal"/>
    <w:uiPriority w:val="99"/>
    <w:rsid w:val="001E195E"/>
    <w:pPr>
      <w:suppressAutoHyphens/>
      <w:autoSpaceDE w:val="0"/>
      <w:autoSpaceDN w:val="0"/>
      <w:adjustRightInd w:val="0"/>
      <w:spacing w:before="113" w:after="113" w:line="320" w:lineRule="atLeast"/>
      <w:ind w:left="397" w:hanging="397"/>
      <w:jc w:val="left"/>
      <w:textAlignment w:val="center"/>
    </w:pPr>
    <w:rPr>
      <w:rFonts w:ascii="Roboto" w:hAnsi="Roboto" w:cs="Roboto"/>
      <w:b/>
      <w:bCs/>
      <w:color w:val="F89C1B"/>
      <w:sz w:val="26"/>
      <w:szCs w:val="26"/>
      <w:lang w:val="en-GB" w:eastAsia="en-NZ"/>
    </w:rPr>
  </w:style>
  <w:style w:type="paragraph" w:customStyle="1" w:styleId="Heading410ptGrey">
    <w:name w:val="Heading 4 = 10pt Grey"/>
    <w:basedOn w:val="Normal"/>
    <w:uiPriority w:val="99"/>
    <w:rsid w:val="001E195E"/>
    <w:pPr>
      <w:suppressAutoHyphens/>
      <w:autoSpaceDE w:val="0"/>
      <w:autoSpaceDN w:val="0"/>
      <w:adjustRightInd w:val="0"/>
      <w:spacing w:before="57" w:after="113" w:line="320" w:lineRule="atLeast"/>
      <w:ind w:left="28"/>
      <w:jc w:val="left"/>
      <w:textAlignment w:val="center"/>
    </w:pPr>
    <w:rPr>
      <w:rFonts w:ascii="Roboto" w:hAnsi="Roboto" w:cs="Roboto"/>
      <w:b/>
      <w:bCs/>
      <w:color w:val="323E47"/>
      <w:sz w:val="20"/>
      <w:szCs w:val="20"/>
      <w:lang w:val="en-GB" w:eastAsia="en-NZ"/>
    </w:rPr>
  </w:style>
  <w:style w:type="paragraph" w:customStyle="1" w:styleId="Bullets">
    <w:name w:val="Bullets"/>
    <w:basedOn w:val="Normal"/>
    <w:uiPriority w:val="99"/>
    <w:rsid w:val="001E195E"/>
    <w:pPr>
      <w:suppressAutoHyphens/>
      <w:autoSpaceDE w:val="0"/>
      <w:autoSpaceDN w:val="0"/>
      <w:adjustRightInd w:val="0"/>
      <w:spacing w:before="57" w:after="113" w:line="240" w:lineRule="atLeast"/>
      <w:ind w:left="680" w:right="283" w:hanging="510"/>
      <w:jc w:val="left"/>
      <w:textAlignment w:val="center"/>
    </w:pPr>
    <w:rPr>
      <w:rFonts w:ascii="Roboto" w:hAnsi="Roboto" w:cs="Roboto"/>
      <w:color w:val="323E47"/>
      <w:sz w:val="19"/>
      <w:szCs w:val="19"/>
      <w:lang w:val="en-GB" w:eastAsia="en-NZ"/>
    </w:rPr>
  </w:style>
  <w:style w:type="paragraph" w:styleId="Subtitle">
    <w:name w:val="Subtitle"/>
    <w:basedOn w:val="Normal"/>
    <w:next w:val="Normal"/>
    <w:link w:val="SubtitleChar"/>
    <w:uiPriority w:val="11"/>
    <w:qFormat/>
    <w:rsid w:val="001E195E"/>
    <w:pPr>
      <w:numPr>
        <w:ilvl w:val="1"/>
      </w:numPr>
      <w:spacing w:after="160"/>
    </w:pPr>
    <w:rPr>
      <w:rFonts w:asciiTheme="minorHAnsi" w:eastAsiaTheme="minorEastAsia" w:hAnsiTheme="minorHAnsi" w:cstheme="minorBidi"/>
      <w:color w:val="43B4E3" w:themeColor="text2"/>
      <w:spacing w:val="15"/>
      <w:sz w:val="22"/>
      <w:szCs w:val="22"/>
    </w:rPr>
  </w:style>
  <w:style w:type="character" w:customStyle="1" w:styleId="SubtitleChar">
    <w:name w:val="Subtitle Char"/>
    <w:basedOn w:val="DefaultParagraphFont"/>
    <w:link w:val="Subtitle"/>
    <w:uiPriority w:val="11"/>
    <w:rsid w:val="001E195E"/>
    <w:rPr>
      <w:rFonts w:asciiTheme="minorHAnsi" w:eastAsiaTheme="minorEastAsia" w:hAnsiTheme="minorHAnsi" w:cstheme="minorBidi"/>
      <w:color w:val="43B4E3" w:themeColor="text2"/>
      <w:spacing w:val="15"/>
      <w:sz w:val="22"/>
      <w:szCs w:val="22"/>
      <w:lang w:eastAsia="en-US"/>
    </w:rPr>
  </w:style>
  <w:style w:type="paragraph" w:customStyle="1" w:styleId="Normal-0b4">
    <w:name w:val="Normal - 0 b4"/>
    <w:basedOn w:val="Normal"/>
    <w:qFormat/>
    <w:rsid w:val="00170C30"/>
    <w:pPr>
      <w:spacing w:after="240" w:line="240" w:lineRule="auto"/>
    </w:pPr>
    <w:rPr>
      <w:rFonts w:eastAsiaTheme="minorHAnsi" w:cs="Arial"/>
      <w:color w:val="auto"/>
    </w:rPr>
  </w:style>
  <w:style w:type="character" w:customStyle="1" w:styleId="Heading3Char">
    <w:name w:val="Heading 3 Char"/>
    <w:basedOn w:val="DefaultParagraphFont"/>
    <w:link w:val="Heading3"/>
    <w:uiPriority w:val="9"/>
    <w:semiHidden/>
    <w:rsid w:val="00E668F5"/>
    <w:rPr>
      <w:rFonts w:asciiTheme="majorHAnsi" w:eastAsiaTheme="majorEastAsia" w:hAnsiTheme="majorHAnsi" w:cstheme="majorBidi"/>
      <w:color w:val="844A04" w:themeColor="accent1" w:themeShade="7F"/>
      <w:sz w:val="24"/>
      <w:szCs w:val="24"/>
      <w:lang w:eastAsia="en-US"/>
    </w:rPr>
  </w:style>
  <w:style w:type="paragraph" w:customStyle="1" w:styleId="BodyText-1">
    <w:name w:val="Body Text - 1"/>
    <w:basedOn w:val="Normal"/>
    <w:link w:val="BodyText-1Char"/>
    <w:qFormat/>
    <w:rsid w:val="00E668F5"/>
    <w:pPr>
      <w:spacing w:line="288" w:lineRule="auto"/>
    </w:pPr>
    <w:rPr>
      <w:rFonts w:eastAsiaTheme="minorHAnsi"/>
      <w:sz w:val="20"/>
      <w:szCs w:val="22"/>
    </w:rPr>
  </w:style>
  <w:style w:type="character" w:customStyle="1" w:styleId="BodyText-1Char">
    <w:name w:val="Body Text - 1 Char"/>
    <w:link w:val="BodyText-1"/>
    <w:rsid w:val="00E668F5"/>
    <w:rPr>
      <w:rFonts w:ascii="Arial" w:eastAsiaTheme="minorHAnsi" w:hAnsi="Arial"/>
      <w:color w:val="343E48" w:themeColor="text1"/>
      <w:szCs w:val="22"/>
      <w:lang w:eastAsia="en-US"/>
    </w:rPr>
  </w:style>
  <w:style w:type="paragraph" w:styleId="Revision">
    <w:name w:val="Revision"/>
    <w:hidden/>
    <w:uiPriority w:val="99"/>
    <w:semiHidden/>
    <w:rsid w:val="00853F59"/>
    <w:rPr>
      <w:rFonts w:ascii="Arial" w:hAnsi="Arial"/>
      <w:color w:val="343E48" w:themeColor="text1"/>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476538">
      <w:bodyDiv w:val="1"/>
      <w:marLeft w:val="0"/>
      <w:marRight w:val="0"/>
      <w:marTop w:val="0"/>
      <w:marBottom w:val="0"/>
      <w:divBdr>
        <w:top w:val="none" w:sz="0" w:space="0" w:color="auto"/>
        <w:left w:val="none" w:sz="0" w:space="0" w:color="auto"/>
        <w:bottom w:val="none" w:sz="0" w:space="0" w:color="auto"/>
        <w:right w:val="none" w:sz="0" w:space="0" w:color="auto"/>
      </w:divBdr>
    </w:div>
    <w:div w:id="1368990100">
      <w:bodyDiv w:val="1"/>
      <w:marLeft w:val="0"/>
      <w:marRight w:val="0"/>
      <w:marTop w:val="0"/>
      <w:marBottom w:val="0"/>
      <w:divBdr>
        <w:top w:val="none" w:sz="0" w:space="0" w:color="auto"/>
        <w:left w:val="none" w:sz="0" w:space="0" w:color="auto"/>
        <w:bottom w:val="none" w:sz="0" w:space="0" w:color="auto"/>
        <w:right w:val="none" w:sz="0" w:space="0" w:color="auto"/>
      </w:divBdr>
      <w:divsChild>
        <w:div w:id="1584558876">
          <w:marLeft w:val="274"/>
          <w:marRight w:val="0"/>
          <w:marTop w:val="150"/>
          <w:marBottom w:val="0"/>
          <w:divBdr>
            <w:top w:val="none" w:sz="0" w:space="0" w:color="auto"/>
            <w:left w:val="none" w:sz="0" w:space="0" w:color="auto"/>
            <w:bottom w:val="none" w:sz="0" w:space="0" w:color="auto"/>
            <w:right w:val="none" w:sz="0" w:space="0" w:color="auto"/>
          </w:divBdr>
        </w:div>
        <w:div w:id="1605263921">
          <w:marLeft w:val="274"/>
          <w:marRight w:val="0"/>
          <w:marTop w:val="150"/>
          <w:marBottom w:val="0"/>
          <w:divBdr>
            <w:top w:val="none" w:sz="0" w:space="0" w:color="auto"/>
            <w:left w:val="none" w:sz="0" w:space="0" w:color="auto"/>
            <w:bottom w:val="none" w:sz="0" w:space="0" w:color="auto"/>
            <w:right w:val="none" w:sz="0" w:space="0" w:color="auto"/>
          </w:divBdr>
        </w:div>
        <w:div w:id="414135113">
          <w:marLeft w:val="274"/>
          <w:marRight w:val="0"/>
          <w:marTop w:val="150"/>
          <w:marBottom w:val="0"/>
          <w:divBdr>
            <w:top w:val="none" w:sz="0" w:space="0" w:color="auto"/>
            <w:left w:val="none" w:sz="0" w:space="0" w:color="auto"/>
            <w:bottom w:val="none" w:sz="0" w:space="0" w:color="auto"/>
            <w:right w:val="none" w:sz="0" w:space="0" w:color="auto"/>
          </w:divBdr>
        </w:div>
        <w:div w:id="723024193">
          <w:marLeft w:val="706"/>
          <w:marRight w:val="0"/>
          <w:marTop w:val="75"/>
          <w:marBottom w:val="0"/>
          <w:divBdr>
            <w:top w:val="none" w:sz="0" w:space="0" w:color="auto"/>
            <w:left w:val="none" w:sz="0" w:space="0" w:color="auto"/>
            <w:bottom w:val="none" w:sz="0" w:space="0" w:color="auto"/>
            <w:right w:val="none" w:sz="0" w:space="0" w:color="auto"/>
          </w:divBdr>
        </w:div>
        <w:div w:id="1579484267">
          <w:marLeft w:val="706"/>
          <w:marRight w:val="0"/>
          <w:marTop w:val="75"/>
          <w:marBottom w:val="0"/>
          <w:divBdr>
            <w:top w:val="none" w:sz="0" w:space="0" w:color="auto"/>
            <w:left w:val="none" w:sz="0" w:space="0" w:color="auto"/>
            <w:bottom w:val="none" w:sz="0" w:space="0" w:color="auto"/>
            <w:right w:val="none" w:sz="0" w:space="0" w:color="auto"/>
          </w:divBdr>
        </w:div>
        <w:div w:id="1131551815">
          <w:marLeft w:val="706"/>
          <w:marRight w:val="0"/>
          <w:marTop w:val="75"/>
          <w:marBottom w:val="0"/>
          <w:divBdr>
            <w:top w:val="none" w:sz="0" w:space="0" w:color="auto"/>
            <w:left w:val="none" w:sz="0" w:space="0" w:color="auto"/>
            <w:bottom w:val="none" w:sz="0" w:space="0" w:color="auto"/>
            <w:right w:val="none" w:sz="0" w:space="0" w:color="auto"/>
          </w:divBdr>
        </w:div>
      </w:divsChild>
    </w:div>
    <w:div w:id="1375352258">
      <w:bodyDiv w:val="1"/>
      <w:marLeft w:val="0"/>
      <w:marRight w:val="0"/>
      <w:marTop w:val="0"/>
      <w:marBottom w:val="0"/>
      <w:divBdr>
        <w:top w:val="none" w:sz="0" w:space="0" w:color="auto"/>
        <w:left w:val="none" w:sz="0" w:space="0" w:color="auto"/>
        <w:bottom w:val="none" w:sz="0" w:space="0" w:color="auto"/>
        <w:right w:val="none" w:sz="0" w:space="0" w:color="auto"/>
      </w:divBdr>
    </w:div>
    <w:div w:id="1410729808">
      <w:bodyDiv w:val="1"/>
      <w:marLeft w:val="0"/>
      <w:marRight w:val="0"/>
      <w:marTop w:val="0"/>
      <w:marBottom w:val="0"/>
      <w:divBdr>
        <w:top w:val="none" w:sz="0" w:space="0" w:color="auto"/>
        <w:left w:val="none" w:sz="0" w:space="0" w:color="auto"/>
        <w:bottom w:val="none" w:sz="0" w:space="0" w:color="auto"/>
        <w:right w:val="none" w:sz="0" w:space="0" w:color="auto"/>
      </w:divBdr>
    </w:div>
    <w:div w:id="1807238486">
      <w:bodyDiv w:val="1"/>
      <w:marLeft w:val="0"/>
      <w:marRight w:val="0"/>
      <w:marTop w:val="0"/>
      <w:marBottom w:val="0"/>
      <w:divBdr>
        <w:top w:val="none" w:sz="0" w:space="0" w:color="auto"/>
        <w:left w:val="none" w:sz="0" w:space="0" w:color="auto"/>
        <w:bottom w:val="none" w:sz="0" w:space="0" w:color="auto"/>
        <w:right w:val="none" w:sz="0" w:space="0" w:color="auto"/>
      </w:divBdr>
    </w:div>
    <w:div w:id="1874531841">
      <w:bodyDiv w:val="1"/>
      <w:marLeft w:val="0"/>
      <w:marRight w:val="0"/>
      <w:marTop w:val="0"/>
      <w:marBottom w:val="0"/>
      <w:divBdr>
        <w:top w:val="none" w:sz="0" w:space="0" w:color="auto"/>
        <w:left w:val="none" w:sz="0" w:space="0" w:color="auto"/>
        <w:bottom w:val="none" w:sz="0" w:space="0" w:color="auto"/>
        <w:right w:val="none" w:sz="0" w:space="0" w:color="auto"/>
      </w:divBdr>
    </w:div>
    <w:div w:id="2038702382">
      <w:bodyDiv w:val="1"/>
      <w:marLeft w:val="0"/>
      <w:marRight w:val="0"/>
      <w:marTop w:val="0"/>
      <w:marBottom w:val="0"/>
      <w:divBdr>
        <w:top w:val="none" w:sz="0" w:space="0" w:color="auto"/>
        <w:left w:val="none" w:sz="0" w:space="0" w:color="auto"/>
        <w:bottom w:val="none" w:sz="0" w:space="0" w:color="auto"/>
        <w:right w:val="none" w:sz="0" w:space="0" w:color="auto"/>
      </w:divBdr>
      <w:divsChild>
        <w:div w:id="1903564735">
          <w:marLeft w:val="274"/>
          <w:marRight w:val="0"/>
          <w:marTop w:val="150"/>
          <w:marBottom w:val="0"/>
          <w:divBdr>
            <w:top w:val="none" w:sz="0" w:space="0" w:color="auto"/>
            <w:left w:val="none" w:sz="0" w:space="0" w:color="auto"/>
            <w:bottom w:val="none" w:sz="0" w:space="0" w:color="auto"/>
            <w:right w:val="none" w:sz="0" w:space="0" w:color="auto"/>
          </w:divBdr>
        </w:div>
        <w:div w:id="1378510734">
          <w:marLeft w:val="706"/>
          <w:marRight w:val="0"/>
          <w:marTop w:val="75"/>
          <w:marBottom w:val="0"/>
          <w:divBdr>
            <w:top w:val="none" w:sz="0" w:space="0" w:color="auto"/>
            <w:left w:val="none" w:sz="0" w:space="0" w:color="auto"/>
            <w:bottom w:val="none" w:sz="0" w:space="0" w:color="auto"/>
            <w:right w:val="none" w:sz="0" w:space="0" w:color="auto"/>
          </w:divBdr>
        </w:div>
        <w:div w:id="127280424">
          <w:marLeft w:val="706"/>
          <w:marRight w:val="0"/>
          <w:marTop w:val="75"/>
          <w:marBottom w:val="0"/>
          <w:divBdr>
            <w:top w:val="none" w:sz="0" w:space="0" w:color="auto"/>
            <w:left w:val="none" w:sz="0" w:space="0" w:color="auto"/>
            <w:bottom w:val="none" w:sz="0" w:space="0" w:color="auto"/>
            <w:right w:val="none" w:sz="0" w:space="0" w:color="auto"/>
          </w:divBdr>
        </w:div>
        <w:div w:id="1774083258">
          <w:marLeft w:val="706"/>
          <w:marRight w:val="0"/>
          <w:marTop w:val="75"/>
          <w:marBottom w:val="0"/>
          <w:divBdr>
            <w:top w:val="none" w:sz="0" w:space="0" w:color="auto"/>
            <w:left w:val="none" w:sz="0" w:space="0" w:color="auto"/>
            <w:bottom w:val="none" w:sz="0" w:space="0" w:color="auto"/>
            <w:right w:val="none" w:sz="0" w:space="0" w:color="auto"/>
          </w:divBdr>
        </w:div>
        <w:div w:id="1763800979">
          <w:marLeft w:val="706"/>
          <w:marRight w:val="0"/>
          <w:marTop w:val="75"/>
          <w:marBottom w:val="0"/>
          <w:divBdr>
            <w:top w:val="none" w:sz="0" w:space="0" w:color="auto"/>
            <w:left w:val="none" w:sz="0" w:space="0" w:color="auto"/>
            <w:bottom w:val="none" w:sz="0" w:space="0" w:color="auto"/>
            <w:right w:val="none" w:sz="0" w:space="0" w:color="auto"/>
          </w:divBdr>
        </w:div>
      </w:divsChild>
    </w:div>
    <w:div w:id="206054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NCC-Wor">
  <a:themeElements>
    <a:clrScheme name="NCC">
      <a:dk1>
        <a:srgbClr val="343E48"/>
      </a:dk1>
      <a:lt1>
        <a:sysClr val="window" lastClr="FFFFFF"/>
      </a:lt1>
      <a:dk2>
        <a:srgbClr val="43B4E3"/>
      </a:dk2>
      <a:lt2>
        <a:srgbClr val="77BD43"/>
      </a:lt2>
      <a:accent1>
        <a:srgbClr val="F7941D"/>
      </a:accent1>
      <a:accent2>
        <a:srgbClr val="00A450"/>
      </a:accent2>
      <a:accent3>
        <a:srgbClr val="ED0A71"/>
      </a:accent3>
      <a:accent4>
        <a:srgbClr val="1A7EB0"/>
      </a:accent4>
      <a:accent5>
        <a:srgbClr val="D8D8D8"/>
      </a:accent5>
      <a:accent6>
        <a:srgbClr val="BFBFBF"/>
      </a:accent6>
      <a:hlink>
        <a:srgbClr val="43B4E3"/>
      </a:hlink>
      <a:folHlink>
        <a:srgbClr val="77BD43"/>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B68C-3486-4613-B461-4F7E04EC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3110</Words>
  <Characters>16143</Characters>
  <Application>Microsoft Office Word</Application>
  <DocSecurity>0</DocSecurity>
  <Lines>576</Lines>
  <Paragraphs>427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Anstey</dc:creator>
  <cp:lastModifiedBy>Garry Hrustinsky</cp:lastModifiedBy>
  <cp:revision>2</cp:revision>
  <cp:lastPrinted>2020-08-24T21:42:00Z</cp:lastPrinted>
  <dcterms:created xsi:type="dcterms:W3CDTF">2021-04-08T22:53:00Z</dcterms:created>
  <dcterms:modified xsi:type="dcterms:W3CDTF">2021-04-08T22:53:00Z</dcterms:modified>
</cp:coreProperties>
</file>