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A828" w14:textId="444E7452" w:rsidR="00EC7BDC" w:rsidRDefault="00334803" w:rsidP="00E45F32">
      <w:pPr>
        <w:pStyle w:val="Heading1"/>
      </w:pPr>
      <w:bookmarkStart w:id="0" w:name="_GoBack"/>
      <w:bookmarkEnd w:id="0"/>
      <w:r>
        <w:t xml:space="preserve">Summary of changes between y2 LTP and 2022/23 Annual plan </w:t>
      </w:r>
    </w:p>
    <w:p w14:paraId="42DB004B" w14:textId="77777777" w:rsidR="003F3188" w:rsidRDefault="003F3188" w:rsidP="003C27DA"/>
    <w:p w14:paraId="49BE22BC" w14:textId="43124476" w:rsidR="0DCEEB58" w:rsidRDefault="0DCEEB58" w:rsidP="0DCEEB58">
      <w:pPr>
        <w:rPr>
          <w:rFonts w:eastAsia="MS PGothic"/>
          <w:szCs w:val="21"/>
        </w:rPr>
      </w:pPr>
      <w:r w:rsidRPr="0DCEEB58">
        <w:rPr>
          <w:rFonts w:eastAsia="Arial" w:cs="Arial"/>
          <w:szCs w:val="21"/>
        </w:rPr>
        <w:t>The capital works programme outlined in the LTP includes a substantial investment in a variety of projects. For the Annual Plan 2022/23, there have been several changes where projects have been re-phased. There have also been requirements that have been identified since the LTP and some projects which are no longer required. The tables below outline key changes made to 2022/23.</w:t>
      </w:r>
    </w:p>
    <w:p w14:paraId="7898F3E3" w14:textId="08755EAD" w:rsidR="0DCEEB58" w:rsidRDefault="0DCEEB58" w:rsidP="0DCEEB58">
      <w:pPr>
        <w:rPr>
          <w:b/>
          <w:bCs/>
          <w:color w:val="43B4E2"/>
          <w:sz w:val="23"/>
          <w:szCs w:val="23"/>
        </w:rPr>
      </w:pPr>
      <w:r w:rsidRPr="0DCEEB58">
        <w:rPr>
          <w:b/>
          <w:bCs/>
          <w:color w:val="43B4E2"/>
          <w:sz w:val="23"/>
          <w:szCs w:val="23"/>
        </w:rPr>
        <w:t xml:space="preserve">Variation between LTP Y2 and Annual Plan 2022/23 (Capital expenditure)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5"/>
        <w:gridCol w:w="2085"/>
        <w:gridCol w:w="1785"/>
        <w:gridCol w:w="1845"/>
      </w:tblGrid>
      <w:tr w:rsidR="0DCEEB58" w14:paraId="6FBABE25" w14:textId="77777777" w:rsidTr="0DCEEB58">
        <w:trPr>
          <w:trHeight w:val="795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E4B3" w:themeFill="background2" w:themeFillTint="66"/>
            <w:vAlign w:val="center"/>
          </w:tcPr>
          <w:p w14:paraId="77C987D0" w14:textId="4F8D637C" w:rsidR="0DCEEB58" w:rsidRDefault="0DCEEB58" w:rsidP="0DCEEB58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b/>
                <w:bCs/>
                <w:sz w:val="22"/>
                <w:szCs w:val="22"/>
              </w:rPr>
              <w:t>Activity Group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E4B3" w:themeFill="background2" w:themeFillTint="66"/>
            <w:vAlign w:val="center"/>
          </w:tcPr>
          <w:p w14:paraId="23A27553" w14:textId="64BB2076" w:rsidR="0DCEEB58" w:rsidRDefault="0DCEEB58" w:rsidP="0DCEEB58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b/>
                <w:bCs/>
                <w:color w:val="343E48" w:themeColor="text1"/>
                <w:sz w:val="20"/>
                <w:szCs w:val="20"/>
              </w:rPr>
              <w:t>AP</w:t>
            </w:r>
            <w:r w:rsidRPr="0DCEEB58">
              <w:rPr>
                <w:rFonts w:eastAsia="Arial" w:cs="Arial"/>
                <w:color w:val="343E48" w:themeColor="text1"/>
                <w:sz w:val="20"/>
                <w:szCs w:val="20"/>
              </w:rPr>
              <w:t xml:space="preserve"> </w:t>
            </w:r>
            <w:r>
              <w:br/>
            </w:r>
            <w:r w:rsidRPr="0DCEEB58">
              <w:rPr>
                <w:rFonts w:eastAsia="Arial" w:cs="Arial"/>
                <w:color w:val="343E48" w:themeColor="text1"/>
                <w:sz w:val="20"/>
                <w:szCs w:val="20"/>
              </w:rPr>
              <w:t xml:space="preserve"> </w:t>
            </w:r>
            <w:r w:rsidRPr="0DCEEB58">
              <w:rPr>
                <w:rFonts w:eastAsia="Arial" w:cs="Arial"/>
                <w:b/>
                <w:bCs/>
                <w:color w:val="343E48" w:themeColor="text1"/>
                <w:sz w:val="20"/>
                <w:szCs w:val="20"/>
              </w:rPr>
              <w:t>2022/23</w:t>
            </w:r>
            <w:r w:rsidRPr="0DCEEB58">
              <w:rPr>
                <w:rFonts w:eastAsia="Arial" w:cs="Arial"/>
                <w:color w:val="343E48" w:themeColor="text1"/>
                <w:sz w:val="20"/>
                <w:szCs w:val="20"/>
              </w:rPr>
              <w:t xml:space="preserve"> </w:t>
            </w:r>
            <w:r>
              <w:br/>
            </w:r>
            <w:r w:rsidRPr="0DCEEB58">
              <w:rPr>
                <w:rFonts w:eastAsia="Arial" w:cs="Arial"/>
                <w:color w:val="343E48" w:themeColor="text1"/>
                <w:sz w:val="20"/>
                <w:szCs w:val="20"/>
              </w:rPr>
              <w:t xml:space="preserve"> </w:t>
            </w:r>
            <w:r w:rsidRPr="0DCEEB58">
              <w:rPr>
                <w:rFonts w:eastAsia="Arial" w:cs="Arial"/>
                <w:b/>
                <w:bCs/>
                <w:color w:val="343E48" w:themeColor="text1"/>
                <w:sz w:val="20"/>
                <w:szCs w:val="20"/>
              </w:rPr>
              <w:t>$000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E4B3" w:themeFill="background2" w:themeFillTint="66"/>
            <w:vAlign w:val="center"/>
          </w:tcPr>
          <w:p w14:paraId="7F4482B7" w14:textId="753FF063" w:rsidR="0DCEEB58" w:rsidRDefault="0DCEEB58" w:rsidP="0DCEEB58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b/>
                <w:bCs/>
                <w:color w:val="343E48" w:themeColor="text1"/>
                <w:sz w:val="20"/>
                <w:szCs w:val="20"/>
              </w:rPr>
              <w:t xml:space="preserve">LTP </w:t>
            </w:r>
            <w:r w:rsidRPr="0DCEEB58">
              <w:rPr>
                <w:rFonts w:eastAsia="Arial" w:cs="Arial"/>
                <w:color w:val="343E48" w:themeColor="text1"/>
                <w:sz w:val="20"/>
                <w:szCs w:val="20"/>
              </w:rPr>
              <w:t xml:space="preserve"> </w:t>
            </w:r>
            <w:r>
              <w:br/>
            </w:r>
            <w:r w:rsidRPr="0DCEEB58">
              <w:rPr>
                <w:rFonts w:eastAsia="Arial" w:cs="Arial"/>
                <w:color w:val="343E48" w:themeColor="text1"/>
                <w:sz w:val="20"/>
                <w:szCs w:val="20"/>
              </w:rPr>
              <w:t xml:space="preserve"> </w:t>
            </w:r>
            <w:r w:rsidRPr="0DCEEB58">
              <w:rPr>
                <w:rFonts w:eastAsia="Arial" w:cs="Arial"/>
                <w:b/>
                <w:bCs/>
                <w:color w:val="343E48" w:themeColor="text1"/>
                <w:sz w:val="20"/>
                <w:szCs w:val="20"/>
              </w:rPr>
              <w:t>2022/23</w:t>
            </w:r>
            <w:r w:rsidRPr="0DCEEB58">
              <w:rPr>
                <w:rFonts w:eastAsia="Arial" w:cs="Arial"/>
                <w:color w:val="343E48" w:themeColor="text1"/>
                <w:sz w:val="20"/>
                <w:szCs w:val="20"/>
              </w:rPr>
              <w:t xml:space="preserve"> </w:t>
            </w:r>
            <w:r>
              <w:br/>
            </w:r>
            <w:r w:rsidRPr="0DCEEB58">
              <w:rPr>
                <w:rFonts w:eastAsia="Arial" w:cs="Arial"/>
                <w:color w:val="343E48" w:themeColor="text1"/>
                <w:sz w:val="20"/>
                <w:szCs w:val="20"/>
              </w:rPr>
              <w:t xml:space="preserve"> </w:t>
            </w:r>
            <w:r w:rsidRPr="0DCEEB58">
              <w:rPr>
                <w:rFonts w:eastAsia="Arial" w:cs="Arial"/>
                <w:b/>
                <w:bCs/>
                <w:color w:val="343E48" w:themeColor="text1"/>
                <w:sz w:val="20"/>
                <w:szCs w:val="20"/>
              </w:rPr>
              <w:t>$000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E4B3" w:themeFill="background2" w:themeFillTint="66"/>
            <w:vAlign w:val="center"/>
          </w:tcPr>
          <w:p w14:paraId="2F36F40C" w14:textId="77777777" w:rsidR="0DCEEB58" w:rsidRDefault="0DCEEB58" w:rsidP="0DCEEB58">
            <w:pPr>
              <w:tabs>
                <w:tab w:val="left" w:pos="720"/>
              </w:tabs>
              <w:jc w:val="center"/>
              <w:rPr>
                <w:rFonts w:eastAsia="Arial" w:cs="Arial"/>
                <w:b/>
                <w:bCs/>
                <w:color w:val="343E48" w:themeColor="text1"/>
                <w:sz w:val="20"/>
                <w:szCs w:val="20"/>
              </w:rPr>
            </w:pPr>
            <w:r w:rsidRPr="0DCEEB58">
              <w:rPr>
                <w:rFonts w:eastAsia="Arial" w:cs="Arial"/>
                <w:b/>
                <w:bCs/>
                <w:color w:val="343E48" w:themeColor="text1"/>
                <w:sz w:val="20"/>
                <w:szCs w:val="20"/>
              </w:rPr>
              <w:t>Variance</w:t>
            </w:r>
          </w:p>
          <w:p w14:paraId="34544CAE" w14:textId="0691E109" w:rsidR="0094607E" w:rsidRDefault="0094607E" w:rsidP="0DCEEB58">
            <w:pPr>
              <w:tabs>
                <w:tab w:val="left" w:pos="720"/>
              </w:tabs>
              <w:jc w:val="center"/>
            </w:pPr>
            <w:r>
              <w:rPr>
                <w:rFonts w:eastAsia="Arial" w:cs="Arial"/>
                <w:b/>
                <w:bCs/>
                <w:color w:val="343E48" w:themeColor="text1"/>
                <w:sz w:val="20"/>
                <w:szCs w:val="20"/>
              </w:rPr>
              <w:t>(</w:t>
            </w:r>
            <w:r w:rsidRPr="0DCEEB58">
              <w:rPr>
                <w:rFonts w:eastAsia="Arial" w:cs="Arial"/>
                <w:b/>
                <w:bCs/>
                <w:color w:val="343E48" w:themeColor="text1"/>
                <w:sz w:val="20"/>
                <w:szCs w:val="20"/>
              </w:rPr>
              <w:t>$000</w:t>
            </w:r>
            <w:r>
              <w:rPr>
                <w:rFonts w:eastAsia="Arial" w:cs="Arial"/>
                <w:b/>
                <w:bCs/>
                <w:color w:val="343E48" w:themeColor="text1"/>
                <w:sz w:val="20"/>
                <w:szCs w:val="20"/>
              </w:rPr>
              <w:t>)</w:t>
            </w:r>
          </w:p>
        </w:tc>
      </w:tr>
      <w:tr w:rsidR="0094607E" w14:paraId="22C4FA00" w14:textId="77777777" w:rsidTr="00852BEA">
        <w:trPr>
          <w:trHeight w:val="270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0E2CE" w14:textId="56EF4EBA" w:rsidR="0094607E" w:rsidRDefault="0094607E" w:rsidP="0094607E">
            <w:pPr>
              <w:tabs>
                <w:tab w:val="left" w:pos="720"/>
              </w:tabs>
            </w:pPr>
            <w:r w:rsidRPr="0DCEEB58">
              <w:rPr>
                <w:rFonts w:eastAsia="Arial" w:cs="Arial"/>
                <w:sz w:val="20"/>
                <w:szCs w:val="20"/>
              </w:rPr>
              <w:t xml:space="preserve">City Strategy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0673F" w14:textId="17D387B4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 xml:space="preserve"> 167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6C858" w14:textId="72B675C3" w:rsidR="0094607E" w:rsidRDefault="0094607E" w:rsidP="0094607E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sz w:val="20"/>
                <w:szCs w:val="20"/>
              </w:rPr>
              <w:t>1,094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EC18C" w14:textId="2EC8F5B3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>(927)</w:t>
            </w:r>
          </w:p>
        </w:tc>
      </w:tr>
      <w:tr w:rsidR="0094607E" w14:paraId="19B9E4AA" w14:textId="77777777" w:rsidTr="00852BEA">
        <w:trPr>
          <w:trHeight w:val="270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26505" w14:textId="1BA40F73" w:rsidR="0094607E" w:rsidRDefault="0094607E" w:rsidP="0094607E">
            <w:pPr>
              <w:tabs>
                <w:tab w:val="left" w:pos="720"/>
              </w:tabs>
            </w:pPr>
            <w:r w:rsidRPr="0DCEEB58">
              <w:rPr>
                <w:rFonts w:eastAsia="Arial" w:cs="Arial"/>
                <w:sz w:val="20"/>
                <w:szCs w:val="20"/>
              </w:rPr>
              <w:t xml:space="preserve">Community and Visitor Experiences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31610" w14:textId="77F60DC1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 xml:space="preserve"> 25,682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165BB" w14:textId="76F0EE17" w:rsidR="0094607E" w:rsidRDefault="0094607E" w:rsidP="0094607E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sz w:val="20"/>
                <w:szCs w:val="20"/>
              </w:rPr>
              <w:t>17,574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213A2" w14:textId="3F2236D2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>8,108</w:t>
            </w:r>
          </w:p>
        </w:tc>
      </w:tr>
      <w:tr w:rsidR="0094607E" w14:paraId="464EE6FA" w14:textId="77777777" w:rsidTr="00852BEA">
        <w:trPr>
          <w:trHeight w:val="270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4974D" w14:textId="1781A5AE" w:rsidR="0094607E" w:rsidRDefault="0094607E" w:rsidP="0094607E">
            <w:pPr>
              <w:tabs>
                <w:tab w:val="left" w:pos="720"/>
              </w:tabs>
            </w:pPr>
            <w:r w:rsidRPr="0DCEEB58">
              <w:rPr>
                <w:rFonts w:eastAsia="Arial" w:cs="Arial"/>
                <w:sz w:val="20"/>
                <w:szCs w:val="20"/>
              </w:rPr>
              <w:t xml:space="preserve">Other Infrastructure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D3F0" w14:textId="39F76AB3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 xml:space="preserve"> 2,777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F1047" w14:textId="205CC644" w:rsidR="0094607E" w:rsidRDefault="0094607E" w:rsidP="0094607E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sz w:val="20"/>
                <w:szCs w:val="20"/>
              </w:rPr>
              <w:t>2,778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6D900" w14:textId="2D53E52D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>(1)</w:t>
            </w:r>
          </w:p>
        </w:tc>
      </w:tr>
      <w:tr w:rsidR="0094607E" w14:paraId="39593CCD" w14:textId="77777777" w:rsidTr="00852BEA">
        <w:trPr>
          <w:trHeight w:val="270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F4E29" w14:textId="710388CB" w:rsidR="0094607E" w:rsidRDefault="0094607E" w:rsidP="0094607E">
            <w:pPr>
              <w:tabs>
                <w:tab w:val="left" w:pos="720"/>
              </w:tabs>
            </w:pPr>
            <w:r w:rsidRPr="0DCEEB58">
              <w:rPr>
                <w:rFonts w:eastAsia="Arial" w:cs="Arial"/>
                <w:sz w:val="20"/>
                <w:szCs w:val="20"/>
              </w:rPr>
              <w:t xml:space="preserve">Property Assets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FB5BE" w14:textId="1B2014CD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 xml:space="preserve"> 5,747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C5DF7" w14:textId="0DB0CD98" w:rsidR="0094607E" w:rsidRDefault="0094607E" w:rsidP="0094607E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sz w:val="20"/>
                <w:szCs w:val="20"/>
              </w:rPr>
              <w:t>3,379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3469" w14:textId="3B72CAF5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>2,368</w:t>
            </w:r>
          </w:p>
        </w:tc>
      </w:tr>
      <w:tr w:rsidR="0094607E" w14:paraId="096079ED" w14:textId="77777777" w:rsidTr="00852BEA">
        <w:trPr>
          <w:trHeight w:val="270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42E02" w14:textId="1E43FF52" w:rsidR="0094607E" w:rsidRDefault="0094607E" w:rsidP="0094607E">
            <w:pPr>
              <w:tabs>
                <w:tab w:val="left" w:pos="720"/>
              </w:tabs>
            </w:pPr>
            <w:r w:rsidRPr="0DCEEB58">
              <w:rPr>
                <w:rFonts w:eastAsia="Arial" w:cs="Arial"/>
                <w:sz w:val="20"/>
                <w:szCs w:val="20"/>
              </w:rPr>
              <w:t xml:space="preserve">Stormwater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605A1" w14:textId="56508678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 xml:space="preserve"> 11,908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CD05A" w14:textId="4A913D50" w:rsidR="0094607E" w:rsidRDefault="0094607E" w:rsidP="0094607E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sz w:val="20"/>
                <w:szCs w:val="20"/>
              </w:rPr>
              <w:t>9,212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E0D3B" w14:textId="7616C513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>2,696</w:t>
            </w:r>
          </w:p>
        </w:tc>
      </w:tr>
      <w:tr w:rsidR="0094607E" w14:paraId="4C86F0F9" w14:textId="77777777" w:rsidTr="00852BEA">
        <w:trPr>
          <w:trHeight w:val="270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E8304" w14:textId="41D88CCA" w:rsidR="0094607E" w:rsidRDefault="0094607E" w:rsidP="0094607E">
            <w:pPr>
              <w:tabs>
                <w:tab w:val="left" w:pos="720"/>
              </w:tabs>
            </w:pPr>
            <w:r w:rsidRPr="0DCEEB58">
              <w:rPr>
                <w:rFonts w:eastAsia="Arial" w:cs="Arial"/>
                <w:sz w:val="20"/>
                <w:szCs w:val="20"/>
              </w:rPr>
              <w:t xml:space="preserve">Transportation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B5642" w14:textId="3D2F92D0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 xml:space="preserve"> 11,709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8B072" w14:textId="2506A39F" w:rsidR="0094607E" w:rsidRDefault="0094607E" w:rsidP="0094607E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sz w:val="20"/>
                <w:szCs w:val="20"/>
              </w:rPr>
              <w:t>11,709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48F01" w14:textId="4A5AB693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>0</w:t>
            </w:r>
          </w:p>
        </w:tc>
      </w:tr>
      <w:tr w:rsidR="0094607E" w14:paraId="6B0508D3" w14:textId="77777777" w:rsidTr="00852BEA">
        <w:trPr>
          <w:trHeight w:val="270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14790" w14:textId="0F5FDD21" w:rsidR="0094607E" w:rsidRDefault="0094607E" w:rsidP="0094607E">
            <w:pPr>
              <w:tabs>
                <w:tab w:val="left" w:pos="720"/>
              </w:tabs>
            </w:pPr>
            <w:r w:rsidRPr="0DCEEB58">
              <w:rPr>
                <w:rFonts w:eastAsia="Arial" w:cs="Arial"/>
                <w:sz w:val="20"/>
                <w:szCs w:val="20"/>
              </w:rPr>
              <w:t xml:space="preserve">Wastewater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199A1" w14:textId="19691AB0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 xml:space="preserve"> 13,393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7F93D" w14:textId="6C6CC6F2" w:rsidR="0094607E" w:rsidRDefault="0094607E" w:rsidP="0094607E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sz w:val="20"/>
                <w:szCs w:val="20"/>
              </w:rPr>
              <w:t>10,849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7A670" w14:textId="496B0BED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>2,544</w:t>
            </w:r>
          </w:p>
        </w:tc>
      </w:tr>
      <w:tr w:rsidR="0094607E" w14:paraId="25C7ED23" w14:textId="77777777" w:rsidTr="00852BEA">
        <w:trPr>
          <w:trHeight w:val="270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9BEA5" w14:textId="09702AC8" w:rsidR="0094607E" w:rsidRDefault="0094607E" w:rsidP="0094607E">
            <w:pPr>
              <w:tabs>
                <w:tab w:val="left" w:pos="720"/>
              </w:tabs>
            </w:pPr>
            <w:r w:rsidRPr="0DCEEB58">
              <w:rPr>
                <w:rFonts w:eastAsia="Arial" w:cs="Arial"/>
                <w:sz w:val="20"/>
                <w:szCs w:val="20"/>
              </w:rPr>
              <w:t xml:space="preserve">Water Supply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5D697" w14:textId="39870646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 xml:space="preserve"> 13,966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E0E4C" w14:textId="54A46ACC" w:rsidR="0094607E" w:rsidRDefault="0094607E" w:rsidP="0094607E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sz w:val="20"/>
                <w:szCs w:val="20"/>
              </w:rPr>
              <w:t>9,941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18AE9" w14:textId="0AA15607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>4,025</w:t>
            </w:r>
          </w:p>
        </w:tc>
      </w:tr>
      <w:tr w:rsidR="0094607E" w14:paraId="3D6C1CE7" w14:textId="77777777" w:rsidTr="00852BEA">
        <w:trPr>
          <w:trHeight w:val="270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C40A1" w14:textId="18C8D618" w:rsidR="0094607E" w:rsidRDefault="0094607E" w:rsidP="0094607E">
            <w:pPr>
              <w:tabs>
                <w:tab w:val="left" w:pos="720"/>
              </w:tabs>
            </w:pPr>
            <w:r w:rsidRPr="0DCEEB58">
              <w:rPr>
                <w:rFonts w:eastAsia="Arial" w:cs="Arial"/>
                <w:sz w:val="20"/>
                <w:szCs w:val="20"/>
              </w:rPr>
              <w:t xml:space="preserve">Support Units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899D2" w14:textId="39FF6701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 xml:space="preserve"> 4,552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20BFD" w14:textId="25577B21" w:rsidR="0094607E" w:rsidRDefault="0094607E" w:rsidP="0094607E">
            <w:pPr>
              <w:tabs>
                <w:tab w:val="left" w:pos="720"/>
              </w:tabs>
              <w:jc w:val="center"/>
            </w:pPr>
            <w:r w:rsidRPr="0DCEEB58">
              <w:rPr>
                <w:rFonts w:eastAsia="Arial" w:cs="Arial"/>
                <w:sz w:val="20"/>
                <w:szCs w:val="20"/>
              </w:rPr>
              <w:t>6,720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C6104" w14:textId="1874BA77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rFonts w:eastAsia="Arial" w:cs="Arial"/>
                <w:sz w:val="20"/>
                <w:szCs w:val="20"/>
              </w:rPr>
            </w:pPr>
            <w:r w:rsidRPr="0094607E">
              <w:rPr>
                <w:rFonts w:eastAsia="Arial" w:cs="Arial"/>
                <w:sz w:val="20"/>
                <w:szCs w:val="20"/>
              </w:rPr>
              <w:t>(2,168)</w:t>
            </w:r>
          </w:p>
        </w:tc>
      </w:tr>
      <w:tr w:rsidR="0094607E" w14:paraId="31A0BD52" w14:textId="77777777" w:rsidTr="0094607E">
        <w:trPr>
          <w:trHeight w:val="831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E0F3" w:themeFill="text2" w:themeFillTint="66"/>
            <w:vAlign w:val="center"/>
          </w:tcPr>
          <w:p w14:paraId="5333C8E0" w14:textId="53BA6E62" w:rsidR="0094607E" w:rsidRPr="0094607E" w:rsidRDefault="0094607E" w:rsidP="0094607E">
            <w:pPr>
              <w:jc w:val="center"/>
              <w:rPr>
                <w:b/>
              </w:rPr>
            </w:pPr>
            <w:r w:rsidRPr="0094607E">
              <w:rPr>
                <w:b/>
              </w:rPr>
              <w:t>Total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E0F3" w:themeFill="text2" w:themeFillTint="66"/>
            <w:vAlign w:val="center"/>
          </w:tcPr>
          <w:p w14:paraId="516B5A9A" w14:textId="1052A2D7" w:rsidR="0094607E" w:rsidRPr="0094607E" w:rsidRDefault="0094607E" w:rsidP="0094607E">
            <w:pPr>
              <w:jc w:val="center"/>
              <w:rPr>
                <w:b/>
              </w:rPr>
            </w:pPr>
            <w:r w:rsidRPr="0094607E">
              <w:rPr>
                <w:b/>
              </w:rPr>
              <w:t>89,901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E0F3" w:themeFill="text2" w:themeFillTint="66"/>
            <w:vAlign w:val="center"/>
          </w:tcPr>
          <w:p w14:paraId="5D5E89BE" w14:textId="342EC48C" w:rsidR="0094607E" w:rsidRPr="0094607E" w:rsidRDefault="0094607E" w:rsidP="0094607E">
            <w:pPr>
              <w:jc w:val="center"/>
              <w:rPr>
                <w:b/>
              </w:rPr>
            </w:pPr>
            <w:r w:rsidRPr="0094607E">
              <w:rPr>
                <w:b/>
              </w:rPr>
              <w:t>73,256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E0F3" w:themeFill="text2" w:themeFillTint="66"/>
            <w:vAlign w:val="center"/>
          </w:tcPr>
          <w:p w14:paraId="0B460476" w14:textId="77777777" w:rsidR="0094607E" w:rsidRPr="0094607E" w:rsidRDefault="0094607E" w:rsidP="0094607E">
            <w:pPr>
              <w:jc w:val="center"/>
              <w:rPr>
                <w:b/>
              </w:rPr>
            </w:pPr>
          </w:p>
          <w:p w14:paraId="546F38D4" w14:textId="4C1CE33A" w:rsidR="0094607E" w:rsidRPr="0094607E" w:rsidRDefault="0094607E" w:rsidP="0094607E">
            <w:pPr>
              <w:jc w:val="center"/>
              <w:rPr>
                <w:b/>
              </w:rPr>
            </w:pPr>
            <w:r w:rsidRPr="0094607E">
              <w:rPr>
                <w:b/>
              </w:rPr>
              <w:t>16,645</w:t>
            </w:r>
          </w:p>
          <w:p w14:paraId="55350904" w14:textId="46DDF62F" w:rsidR="0094607E" w:rsidRPr="0094607E" w:rsidRDefault="0094607E" w:rsidP="0094607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</w:tbl>
    <w:p w14:paraId="5A77BD93" w14:textId="225866CE" w:rsidR="0DCEEB58" w:rsidRDefault="0DCEEB58" w:rsidP="0DCEEB58">
      <w:pPr>
        <w:rPr>
          <w:rFonts w:eastAsia="MS PGothic"/>
          <w:b/>
          <w:bCs/>
          <w:color w:val="43B4E2"/>
          <w:szCs w:val="21"/>
        </w:rPr>
      </w:pPr>
    </w:p>
    <w:p w14:paraId="71DCCB91" w14:textId="68017719" w:rsidR="003C27DA" w:rsidRDefault="00334803" w:rsidP="003C27DA">
      <w:pPr>
        <w:rPr>
          <w:b/>
          <w:bCs/>
          <w:color w:val="43B4E2"/>
          <w:sz w:val="23"/>
          <w:szCs w:val="23"/>
        </w:rPr>
      </w:pPr>
      <w:r w:rsidRPr="4C897127">
        <w:rPr>
          <w:b/>
          <w:bCs/>
          <w:color w:val="43B4E2"/>
          <w:sz w:val="23"/>
          <w:szCs w:val="23"/>
        </w:rPr>
        <w:t>Changes over 500K to a project between LTP Y2 and 2022/23 Annual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4"/>
        <w:gridCol w:w="7426"/>
      </w:tblGrid>
      <w:tr w:rsidR="000C7667" w14:paraId="3BF46FD7" w14:textId="161DF8F7" w:rsidTr="00631951">
        <w:tc>
          <w:tcPr>
            <w:tcW w:w="1447" w:type="pct"/>
            <w:shd w:val="clear" w:color="auto" w:fill="C8E4B3" w:themeFill="background2" w:themeFillTint="66"/>
          </w:tcPr>
          <w:p w14:paraId="69D131DA" w14:textId="6AF8707E" w:rsidR="000C7667" w:rsidRDefault="000C7667" w:rsidP="00334803">
            <w:pPr>
              <w:rPr>
                <w:noProof/>
                <w:lang w:eastAsia="en-NZ"/>
              </w:rPr>
            </w:pPr>
            <w:r>
              <w:rPr>
                <w:b/>
                <w:bCs/>
                <w:color w:val="313D46"/>
                <w:sz w:val="20"/>
                <w:szCs w:val="20"/>
              </w:rPr>
              <w:t xml:space="preserve">Activity Group </w:t>
            </w:r>
          </w:p>
        </w:tc>
        <w:tc>
          <w:tcPr>
            <w:tcW w:w="3553" w:type="pct"/>
            <w:shd w:val="clear" w:color="auto" w:fill="C8E4B3" w:themeFill="background2" w:themeFillTint="66"/>
          </w:tcPr>
          <w:p w14:paraId="19726080" w14:textId="41D0E52D" w:rsidR="000C7667" w:rsidRDefault="000C7667" w:rsidP="4C897127">
            <w:pPr>
              <w:rPr>
                <w:b/>
                <w:bCs/>
                <w:noProof/>
                <w:color w:val="313D46"/>
                <w:sz w:val="20"/>
                <w:szCs w:val="20"/>
                <w:lang w:eastAsia="en-NZ"/>
              </w:rPr>
            </w:pPr>
            <w:r w:rsidRPr="4C897127">
              <w:rPr>
                <w:b/>
                <w:bCs/>
                <w:color w:val="313D46"/>
                <w:sz w:val="20"/>
                <w:szCs w:val="20"/>
              </w:rPr>
              <w:t>Details of changes over $500,000 for 2022/23</w:t>
            </w:r>
          </w:p>
        </w:tc>
      </w:tr>
      <w:tr w:rsidR="000C7667" w14:paraId="1FF638F0" w14:textId="6168AFB5" w:rsidTr="00631951">
        <w:tc>
          <w:tcPr>
            <w:tcW w:w="1447" w:type="pct"/>
          </w:tcPr>
          <w:p w14:paraId="2B7354E9" w14:textId="18E117A3" w:rsidR="000C7667" w:rsidRDefault="000C7667" w:rsidP="003C27DA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 xml:space="preserve">Governance and Representation </w:t>
            </w:r>
          </w:p>
        </w:tc>
        <w:tc>
          <w:tcPr>
            <w:tcW w:w="3553" w:type="pct"/>
            <w:shd w:val="clear" w:color="auto" w:fill="E5E5E5" w:themeFill="accent6" w:themeFillTint="66"/>
          </w:tcPr>
          <w:p w14:paraId="028D4544" w14:textId="48621215" w:rsidR="000C7667" w:rsidRDefault="000C7667" w:rsidP="003C27DA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NIL</w:t>
            </w:r>
          </w:p>
        </w:tc>
      </w:tr>
      <w:tr w:rsidR="000C7667" w14:paraId="430DB524" w14:textId="157FFB75" w:rsidTr="00631951">
        <w:tc>
          <w:tcPr>
            <w:tcW w:w="1447" w:type="pct"/>
          </w:tcPr>
          <w:p w14:paraId="32B50790" w14:textId="297DA262" w:rsidR="000C7667" w:rsidRDefault="000C7667" w:rsidP="003C27DA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City Strategy</w:t>
            </w:r>
          </w:p>
        </w:tc>
        <w:tc>
          <w:tcPr>
            <w:tcW w:w="3553" w:type="pct"/>
          </w:tcPr>
          <w:p w14:paraId="667BF330" w14:textId="6BA1DB5E" w:rsidR="000C7667" w:rsidRDefault="000C7667" w:rsidP="4C897127">
            <w:pPr>
              <w:rPr>
                <w:rFonts w:eastAsia="MS PGothic"/>
                <w:b/>
                <w:bCs/>
                <w:noProof/>
                <w:lang w:eastAsia="en-NZ"/>
              </w:rPr>
            </w:pPr>
            <w:r w:rsidRPr="4C897127">
              <w:rPr>
                <w:rFonts w:eastAsia="MS PGothic"/>
                <w:b/>
                <w:bCs/>
                <w:noProof/>
                <w:lang w:eastAsia="en-NZ"/>
              </w:rPr>
              <w:t xml:space="preserve">Taken out of 22/23 budgets: </w:t>
            </w:r>
          </w:p>
          <w:p w14:paraId="65EFFEC5" w14:textId="0D340CD5" w:rsidR="000C7667" w:rsidRPr="003F22E2" w:rsidRDefault="000C7667" w:rsidP="00631951">
            <w:pPr>
              <w:pStyle w:val="ListParagraph"/>
              <w:numPr>
                <w:ilvl w:val="0"/>
                <w:numId w:val="41"/>
              </w:numPr>
              <w:rPr>
                <w:noProof/>
                <w:lang w:eastAsia="en-NZ"/>
              </w:rPr>
            </w:pPr>
            <w:r w:rsidRPr="4C897127">
              <w:rPr>
                <w:noProof/>
                <w:lang w:eastAsia="en-NZ"/>
              </w:rPr>
              <w:t>$500k taken out of 22/23 for parking technology upgrade as it was brought forward</w:t>
            </w:r>
            <w:r w:rsidR="00631951">
              <w:rPr>
                <w:noProof/>
                <w:lang w:eastAsia="en-NZ"/>
              </w:rPr>
              <w:t xml:space="preserve"> into</w:t>
            </w:r>
            <w:r w:rsidRPr="4C897127">
              <w:rPr>
                <w:noProof/>
                <w:lang w:eastAsia="en-NZ"/>
              </w:rPr>
              <w:t xml:space="preserve"> 2021/22</w:t>
            </w:r>
            <w:r w:rsidR="009334C3">
              <w:rPr>
                <w:noProof/>
                <w:lang w:eastAsia="en-NZ"/>
              </w:rPr>
              <w:t xml:space="preserve">. </w:t>
            </w:r>
            <w:r w:rsidR="009334C3" w:rsidRPr="16DB1AD5">
              <w:rPr>
                <w:rFonts w:eastAsia="MS PGothic"/>
                <w:noProof/>
                <w:lang w:eastAsia="en-NZ"/>
              </w:rPr>
              <w:t>The roll out of the upgrade this financial year meant that the budget needed to be consolidated into this year to pay the supplier</w:t>
            </w:r>
            <w:r w:rsidR="009334C3">
              <w:rPr>
                <w:rFonts w:eastAsia="MS PGothic"/>
                <w:noProof/>
                <w:lang w:eastAsia="en-NZ"/>
              </w:rPr>
              <w:t xml:space="preserve">. </w:t>
            </w:r>
          </w:p>
        </w:tc>
      </w:tr>
      <w:tr w:rsidR="00631951" w14:paraId="25A28894" w14:textId="4F53C544" w:rsidTr="00631951">
        <w:trPr>
          <w:trHeight w:val="6340"/>
        </w:trPr>
        <w:tc>
          <w:tcPr>
            <w:tcW w:w="1447" w:type="pct"/>
          </w:tcPr>
          <w:p w14:paraId="6B1E9E01" w14:textId="22007496" w:rsidR="00631951" w:rsidRDefault="00631951" w:rsidP="001E136D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lastRenderedPageBreak/>
              <w:t xml:space="preserve">Water Supply </w:t>
            </w:r>
          </w:p>
        </w:tc>
        <w:tc>
          <w:tcPr>
            <w:tcW w:w="3553" w:type="pct"/>
          </w:tcPr>
          <w:p w14:paraId="5152A821" w14:textId="7B2D23A5" w:rsidR="00631951" w:rsidRDefault="00631951" w:rsidP="001E136D">
            <w:pPr>
              <w:rPr>
                <w:rFonts w:eastAsia="MS PGothic"/>
                <w:b/>
                <w:bCs/>
                <w:noProof/>
                <w:lang w:eastAsia="en-NZ"/>
              </w:rPr>
            </w:pPr>
            <w:r w:rsidRPr="4C897127">
              <w:rPr>
                <w:rFonts w:eastAsia="MS PGothic"/>
                <w:b/>
                <w:bCs/>
                <w:noProof/>
                <w:lang w:eastAsia="en-NZ"/>
              </w:rPr>
              <w:t xml:space="preserve">Added in to 22/23 budgets: </w:t>
            </w:r>
          </w:p>
          <w:p w14:paraId="6DE2FC51" w14:textId="77777777" w:rsidR="00631951" w:rsidRPr="00CC602B" w:rsidRDefault="00631951" w:rsidP="009334C3">
            <w:pPr>
              <w:pStyle w:val="ListParagraph"/>
              <w:numPr>
                <w:ilvl w:val="0"/>
                <w:numId w:val="41"/>
              </w:numPr>
              <w:rPr>
                <w:noProof/>
                <w:lang w:eastAsia="en-NZ"/>
              </w:rPr>
            </w:pPr>
            <w:r w:rsidRPr="00CC602B">
              <w:rPr>
                <w:noProof/>
                <w:lang w:eastAsia="en-NZ"/>
              </w:rPr>
              <w:t>$500k brought into 22/23 from 21/22 for Water Treatment Plant 1</w:t>
            </w:r>
            <w:r>
              <w:rPr>
                <w:noProof/>
                <w:lang w:eastAsia="en-NZ"/>
              </w:rPr>
              <w:t xml:space="preserve"> due to the</w:t>
            </w:r>
            <w:r>
              <w:rPr>
                <w:rFonts w:eastAsia="MS PGothic"/>
                <w:noProof/>
                <w:lang w:eastAsia="en-NZ"/>
              </w:rPr>
              <w:t xml:space="preserve"> ti</w:t>
            </w:r>
            <w:r w:rsidRPr="16DB1AD5">
              <w:rPr>
                <w:rFonts w:eastAsia="MS PGothic"/>
                <w:noProof/>
                <w:lang w:eastAsia="en-NZ"/>
              </w:rPr>
              <w:t>ming of work related to the Water R</w:t>
            </w:r>
            <w:r>
              <w:rPr>
                <w:rFonts w:eastAsia="MS PGothic"/>
                <w:noProof/>
                <w:lang w:eastAsia="en-NZ"/>
              </w:rPr>
              <w:t>eform Programme.</w:t>
            </w:r>
            <w:r w:rsidRPr="16DB1AD5">
              <w:rPr>
                <w:rFonts w:eastAsia="MS PGothic"/>
                <w:noProof/>
                <w:lang w:eastAsia="en-NZ"/>
              </w:rPr>
              <w:t xml:space="preserve"> </w:t>
            </w:r>
            <w:r>
              <w:rPr>
                <w:rFonts w:eastAsia="MS PGothic"/>
                <w:noProof/>
                <w:lang w:eastAsia="en-NZ"/>
              </w:rPr>
              <w:t>T</w:t>
            </w:r>
            <w:r w:rsidRPr="16DB1AD5">
              <w:rPr>
                <w:rFonts w:eastAsia="MS PGothic"/>
                <w:noProof/>
                <w:lang w:eastAsia="en-NZ"/>
              </w:rPr>
              <w:t>his budget was not need</w:t>
            </w:r>
            <w:r>
              <w:rPr>
                <w:rFonts w:eastAsia="MS PGothic"/>
                <w:noProof/>
                <w:lang w:eastAsia="en-NZ"/>
              </w:rPr>
              <w:t xml:space="preserve">ed to be spent in previous year, but Council is </w:t>
            </w:r>
            <w:r w:rsidRPr="16DB1AD5">
              <w:rPr>
                <w:rFonts w:eastAsia="MS PGothic"/>
                <w:noProof/>
                <w:lang w:eastAsia="en-NZ"/>
              </w:rPr>
              <w:t>continu</w:t>
            </w:r>
            <w:r>
              <w:rPr>
                <w:rFonts w:eastAsia="MS PGothic"/>
                <w:noProof/>
                <w:lang w:eastAsia="en-NZ"/>
              </w:rPr>
              <w:t xml:space="preserve">ing this project </w:t>
            </w:r>
            <w:r w:rsidRPr="16DB1AD5">
              <w:rPr>
                <w:rFonts w:eastAsia="MS PGothic"/>
                <w:noProof/>
                <w:lang w:eastAsia="en-NZ"/>
              </w:rPr>
              <w:t xml:space="preserve">after </w:t>
            </w:r>
            <w:r>
              <w:rPr>
                <w:rFonts w:eastAsia="MS PGothic"/>
                <w:noProof/>
                <w:lang w:eastAsia="en-NZ"/>
              </w:rPr>
              <w:t xml:space="preserve">central government funding ceases. </w:t>
            </w:r>
            <w:r>
              <w:rPr>
                <w:noProof/>
                <w:lang w:eastAsia="en-NZ"/>
              </w:rPr>
              <w:t xml:space="preserve"> </w:t>
            </w:r>
          </w:p>
          <w:p w14:paraId="37F6A9EF" w14:textId="77777777" w:rsidR="00631951" w:rsidRPr="00971FB5" w:rsidRDefault="00631951" w:rsidP="001E136D">
            <w:pPr>
              <w:pStyle w:val="ListParagraph"/>
              <w:rPr>
                <w:rFonts w:eastAsia="MS PGothic"/>
                <w:b/>
                <w:bCs/>
                <w:noProof/>
                <w:lang w:eastAsia="en-NZ"/>
              </w:rPr>
            </w:pPr>
          </w:p>
          <w:p w14:paraId="66EFF6BF" w14:textId="77777777" w:rsidR="00631951" w:rsidRPr="00CC602B" w:rsidRDefault="00631951" w:rsidP="001E136D">
            <w:pPr>
              <w:pStyle w:val="ListParagraph"/>
              <w:numPr>
                <w:ilvl w:val="0"/>
                <w:numId w:val="41"/>
              </w:numPr>
              <w:rPr>
                <w:noProof/>
                <w:lang w:eastAsia="en-NZ"/>
              </w:rPr>
            </w:pPr>
            <w:r w:rsidRPr="00CC602B">
              <w:rPr>
                <w:noProof/>
                <w:lang w:eastAsia="en-NZ"/>
              </w:rPr>
              <w:t>$500k brought into 22/23 from 21/22 for Water Treatment Plant 2</w:t>
            </w:r>
            <w:r>
              <w:rPr>
                <w:noProof/>
                <w:lang w:eastAsia="en-NZ"/>
              </w:rPr>
              <w:t xml:space="preserve"> due to the</w:t>
            </w:r>
            <w:r>
              <w:rPr>
                <w:rFonts w:eastAsia="MS PGothic"/>
                <w:noProof/>
                <w:lang w:eastAsia="en-NZ"/>
              </w:rPr>
              <w:t xml:space="preserve"> ti</w:t>
            </w:r>
            <w:r w:rsidRPr="16DB1AD5">
              <w:rPr>
                <w:rFonts w:eastAsia="MS PGothic"/>
                <w:noProof/>
                <w:lang w:eastAsia="en-NZ"/>
              </w:rPr>
              <w:t>ming of work related to the Water R</w:t>
            </w:r>
            <w:r>
              <w:rPr>
                <w:rFonts w:eastAsia="MS PGothic"/>
                <w:noProof/>
                <w:lang w:eastAsia="en-NZ"/>
              </w:rPr>
              <w:t>eform Programme.</w:t>
            </w:r>
            <w:r w:rsidRPr="16DB1AD5">
              <w:rPr>
                <w:rFonts w:eastAsia="MS PGothic"/>
                <w:noProof/>
                <w:lang w:eastAsia="en-NZ"/>
              </w:rPr>
              <w:t xml:space="preserve"> </w:t>
            </w:r>
            <w:r>
              <w:rPr>
                <w:rFonts w:eastAsia="MS PGothic"/>
                <w:noProof/>
                <w:lang w:eastAsia="en-NZ"/>
              </w:rPr>
              <w:t>T</w:t>
            </w:r>
            <w:r w:rsidRPr="16DB1AD5">
              <w:rPr>
                <w:rFonts w:eastAsia="MS PGothic"/>
                <w:noProof/>
                <w:lang w:eastAsia="en-NZ"/>
              </w:rPr>
              <w:t>his budget was not need</w:t>
            </w:r>
            <w:r>
              <w:rPr>
                <w:rFonts w:eastAsia="MS PGothic"/>
                <w:noProof/>
                <w:lang w:eastAsia="en-NZ"/>
              </w:rPr>
              <w:t xml:space="preserve">ed to be spent in previous year, but Council is </w:t>
            </w:r>
            <w:r w:rsidRPr="16DB1AD5">
              <w:rPr>
                <w:rFonts w:eastAsia="MS PGothic"/>
                <w:noProof/>
                <w:lang w:eastAsia="en-NZ"/>
              </w:rPr>
              <w:t>continu</w:t>
            </w:r>
            <w:r>
              <w:rPr>
                <w:rFonts w:eastAsia="MS PGothic"/>
                <w:noProof/>
                <w:lang w:eastAsia="en-NZ"/>
              </w:rPr>
              <w:t xml:space="preserve">ing this project </w:t>
            </w:r>
            <w:r w:rsidRPr="16DB1AD5">
              <w:rPr>
                <w:rFonts w:eastAsia="MS PGothic"/>
                <w:noProof/>
                <w:lang w:eastAsia="en-NZ"/>
              </w:rPr>
              <w:t xml:space="preserve">after </w:t>
            </w:r>
            <w:r>
              <w:rPr>
                <w:rFonts w:eastAsia="MS PGothic"/>
                <w:noProof/>
                <w:lang w:eastAsia="en-NZ"/>
              </w:rPr>
              <w:t xml:space="preserve">central government funding ceases. </w:t>
            </w:r>
            <w:r>
              <w:rPr>
                <w:noProof/>
                <w:lang w:eastAsia="en-NZ"/>
              </w:rPr>
              <w:t xml:space="preserve"> </w:t>
            </w:r>
          </w:p>
          <w:p w14:paraId="1ED9F221" w14:textId="77777777" w:rsidR="00631951" w:rsidRDefault="00631951" w:rsidP="001E136D">
            <w:pPr>
              <w:pStyle w:val="ListParagraph"/>
              <w:rPr>
                <w:noProof/>
                <w:lang w:eastAsia="en-NZ"/>
              </w:rPr>
            </w:pPr>
          </w:p>
          <w:p w14:paraId="2A2A8F51" w14:textId="77777777" w:rsidR="00631951" w:rsidRDefault="00631951" w:rsidP="001E136D">
            <w:pPr>
              <w:pStyle w:val="ListParagraph"/>
              <w:numPr>
                <w:ilvl w:val="0"/>
                <w:numId w:val="41"/>
              </w:numPr>
              <w:rPr>
                <w:noProof/>
                <w:lang w:eastAsia="en-NZ"/>
              </w:rPr>
            </w:pPr>
            <w:r w:rsidRPr="4C897127">
              <w:rPr>
                <w:noProof/>
                <w:lang w:eastAsia="en-NZ"/>
              </w:rPr>
              <w:t xml:space="preserve">$4.59M for the Napier Hill Resevoir carried forward from 21/22 into: </w:t>
            </w:r>
          </w:p>
          <w:p w14:paraId="3DC8DA29" w14:textId="77777777" w:rsidR="00631951" w:rsidRDefault="00631951" w:rsidP="001E136D">
            <w:pPr>
              <w:pStyle w:val="ListParagraph"/>
              <w:numPr>
                <w:ilvl w:val="1"/>
                <w:numId w:val="41"/>
              </w:numPr>
              <w:rPr>
                <w:noProof/>
                <w:lang w:eastAsia="en-NZ"/>
              </w:rPr>
            </w:pPr>
            <w:r w:rsidRPr="4C897127">
              <w:rPr>
                <w:noProof/>
                <w:lang w:eastAsia="en-NZ"/>
              </w:rPr>
              <w:t>$2.45M in 22/23</w:t>
            </w:r>
          </w:p>
          <w:p w14:paraId="5D663886" w14:textId="77777777" w:rsidR="00631951" w:rsidRDefault="00631951" w:rsidP="001E136D">
            <w:pPr>
              <w:pStyle w:val="ListParagraph"/>
              <w:numPr>
                <w:ilvl w:val="1"/>
                <w:numId w:val="41"/>
              </w:numPr>
              <w:rPr>
                <w:noProof/>
                <w:lang w:eastAsia="en-NZ"/>
              </w:rPr>
            </w:pPr>
            <w:r w:rsidRPr="4C897127">
              <w:rPr>
                <w:noProof/>
                <w:lang w:eastAsia="en-NZ"/>
              </w:rPr>
              <w:t>$1.15M in 23/24, and</w:t>
            </w:r>
          </w:p>
          <w:p w14:paraId="35936085" w14:textId="77777777" w:rsidR="00631951" w:rsidRDefault="00631951" w:rsidP="001E136D">
            <w:pPr>
              <w:pStyle w:val="ListParagraph"/>
              <w:numPr>
                <w:ilvl w:val="1"/>
                <w:numId w:val="41"/>
              </w:numPr>
              <w:rPr>
                <w:noProof/>
                <w:lang w:eastAsia="en-NZ"/>
              </w:rPr>
            </w:pPr>
            <w:r w:rsidRPr="000C7667">
              <w:rPr>
                <w:noProof/>
                <w:lang w:eastAsia="en-NZ"/>
              </w:rPr>
              <w:t>$986k in 24/25</w:t>
            </w:r>
          </w:p>
          <w:p w14:paraId="6793221D" w14:textId="77777777" w:rsidR="00631951" w:rsidRPr="00CC602B" w:rsidRDefault="00631951" w:rsidP="009334C3">
            <w:pPr>
              <w:pStyle w:val="ListParagraph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This change is to enable Council to time the</w:t>
            </w:r>
            <w:r w:rsidRPr="16DB1AD5">
              <w:rPr>
                <w:rFonts w:eastAsia="MS PGothic"/>
                <w:noProof/>
                <w:lang w:eastAsia="en-NZ"/>
              </w:rPr>
              <w:t xml:space="preserve"> rising main installation to match the programme of the design and construction of the Mataruahou Reservoir.</w:t>
            </w:r>
          </w:p>
          <w:p w14:paraId="1290973E" w14:textId="77777777" w:rsidR="00631951" w:rsidRDefault="00631951" w:rsidP="001E136D">
            <w:pPr>
              <w:rPr>
                <w:rFonts w:eastAsia="MS PGothic"/>
                <w:b/>
                <w:bCs/>
                <w:noProof/>
                <w:lang w:eastAsia="en-NZ"/>
              </w:rPr>
            </w:pPr>
            <w:r w:rsidRPr="4C897127">
              <w:rPr>
                <w:rFonts w:eastAsia="MS PGothic"/>
                <w:b/>
                <w:bCs/>
                <w:noProof/>
                <w:lang w:eastAsia="en-NZ"/>
              </w:rPr>
              <w:t xml:space="preserve">Taken out of 22/23 budgets: </w:t>
            </w:r>
          </w:p>
          <w:p w14:paraId="10A06B00" w14:textId="5006DDCB" w:rsidR="00631951" w:rsidRPr="00CC602B" w:rsidRDefault="00631951" w:rsidP="001E136D">
            <w:pPr>
              <w:pStyle w:val="ListParagraph"/>
              <w:numPr>
                <w:ilvl w:val="0"/>
                <w:numId w:val="41"/>
              </w:numPr>
              <w:rPr>
                <w:noProof/>
                <w:lang w:eastAsia="en-NZ"/>
              </w:rPr>
            </w:pPr>
            <w:r w:rsidRPr="4C897127">
              <w:rPr>
                <w:noProof/>
                <w:lang w:eastAsia="en-NZ"/>
              </w:rPr>
              <w:t xml:space="preserve">$500k taken from 21/22, and $500k taken from 22/23, brought together to make $1M in 23/24 for development of Borefield 1 </w:t>
            </w:r>
            <w:r>
              <w:rPr>
                <w:noProof/>
                <w:lang w:eastAsia="en-NZ"/>
              </w:rPr>
              <w:t>due to the</w:t>
            </w:r>
            <w:r>
              <w:rPr>
                <w:rFonts w:eastAsia="MS PGothic"/>
                <w:noProof/>
                <w:lang w:eastAsia="en-NZ"/>
              </w:rPr>
              <w:t xml:space="preserve"> ti</w:t>
            </w:r>
            <w:r w:rsidRPr="16DB1AD5">
              <w:rPr>
                <w:rFonts w:eastAsia="MS PGothic"/>
                <w:noProof/>
                <w:lang w:eastAsia="en-NZ"/>
              </w:rPr>
              <w:t>ming of work related to the Water R</w:t>
            </w:r>
            <w:r>
              <w:rPr>
                <w:rFonts w:eastAsia="MS PGothic"/>
                <w:noProof/>
                <w:lang w:eastAsia="en-NZ"/>
              </w:rPr>
              <w:t>eform Programme.</w:t>
            </w:r>
            <w:r w:rsidRPr="16DB1AD5">
              <w:rPr>
                <w:rFonts w:eastAsia="MS PGothic"/>
                <w:noProof/>
                <w:lang w:eastAsia="en-NZ"/>
              </w:rPr>
              <w:t xml:space="preserve"> </w:t>
            </w:r>
            <w:r>
              <w:rPr>
                <w:rFonts w:eastAsia="MS PGothic"/>
                <w:noProof/>
                <w:lang w:eastAsia="en-NZ"/>
              </w:rPr>
              <w:t>T</w:t>
            </w:r>
            <w:r w:rsidRPr="16DB1AD5">
              <w:rPr>
                <w:rFonts w:eastAsia="MS PGothic"/>
                <w:noProof/>
                <w:lang w:eastAsia="en-NZ"/>
              </w:rPr>
              <w:t>his budget was not need</w:t>
            </w:r>
            <w:r>
              <w:rPr>
                <w:rFonts w:eastAsia="MS PGothic"/>
                <w:noProof/>
                <w:lang w:eastAsia="en-NZ"/>
              </w:rPr>
              <w:t xml:space="preserve">ed to be spent in previous year, but Council is </w:t>
            </w:r>
            <w:r w:rsidRPr="16DB1AD5">
              <w:rPr>
                <w:rFonts w:eastAsia="MS PGothic"/>
                <w:noProof/>
                <w:lang w:eastAsia="en-NZ"/>
              </w:rPr>
              <w:t>continu</w:t>
            </w:r>
            <w:r>
              <w:rPr>
                <w:rFonts w:eastAsia="MS PGothic"/>
                <w:noProof/>
                <w:lang w:eastAsia="en-NZ"/>
              </w:rPr>
              <w:t xml:space="preserve">ing this project </w:t>
            </w:r>
            <w:r w:rsidRPr="16DB1AD5">
              <w:rPr>
                <w:rFonts w:eastAsia="MS PGothic"/>
                <w:noProof/>
                <w:lang w:eastAsia="en-NZ"/>
              </w:rPr>
              <w:t xml:space="preserve">after </w:t>
            </w:r>
            <w:r>
              <w:rPr>
                <w:rFonts w:eastAsia="MS PGothic"/>
                <w:noProof/>
                <w:lang w:eastAsia="en-NZ"/>
              </w:rPr>
              <w:t xml:space="preserve">central government funding ceases. </w:t>
            </w:r>
            <w:r>
              <w:rPr>
                <w:noProof/>
                <w:lang w:eastAsia="en-NZ"/>
              </w:rPr>
              <w:t xml:space="preserve"> </w:t>
            </w:r>
          </w:p>
        </w:tc>
      </w:tr>
      <w:tr w:rsidR="001E136D" w14:paraId="3BBA3086" w14:textId="0362A82F" w:rsidTr="00631951">
        <w:trPr>
          <w:trHeight w:val="1656"/>
        </w:trPr>
        <w:tc>
          <w:tcPr>
            <w:tcW w:w="1447" w:type="pct"/>
          </w:tcPr>
          <w:p w14:paraId="675E51A2" w14:textId="70892110" w:rsidR="001E136D" w:rsidRDefault="001E136D" w:rsidP="001E136D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Wastewater</w:t>
            </w:r>
          </w:p>
        </w:tc>
        <w:tc>
          <w:tcPr>
            <w:tcW w:w="3553" w:type="pct"/>
          </w:tcPr>
          <w:p w14:paraId="21F63627" w14:textId="35689D26" w:rsidR="001E136D" w:rsidRDefault="001E136D" w:rsidP="001E136D">
            <w:pPr>
              <w:rPr>
                <w:rFonts w:eastAsia="MS PGothic"/>
                <w:b/>
                <w:bCs/>
                <w:noProof/>
                <w:lang w:eastAsia="en-NZ"/>
              </w:rPr>
            </w:pPr>
            <w:r w:rsidRPr="4C897127">
              <w:rPr>
                <w:rFonts w:eastAsia="MS PGothic"/>
                <w:b/>
                <w:bCs/>
                <w:noProof/>
                <w:lang w:eastAsia="en-NZ"/>
              </w:rPr>
              <w:t>Added in to 22/23 budgets:</w:t>
            </w:r>
          </w:p>
          <w:p w14:paraId="286E92B6" w14:textId="1077C5DA" w:rsidR="001E136D" w:rsidRPr="005D5062" w:rsidRDefault="001E136D" w:rsidP="009334C3">
            <w:pPr>
              <w:pStyle w:val="ListParagraph"/>
              <w:numPr>
                <w:ilvl w:val="0"/>
                <w:numId w:val="41"/>
              </w:num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$933k for repairs to the Pandora Industrial Main brought into 22/23 from 21/22</w:t>
            </w:r>
            <w:r w:rsidR="009334C3">
              <w:rPr>
                <w:noProof/>
                <w:lang w:eastAsia="en-NZ"/>
              </w:rPr>
              <w:t>. The t</w:t>
            </w:r>
            <w:r w:rsidR="009334C3" w:rsidRPr="16DB1AD5">
              <w:rPr>
                <w:rFonts w:eastAsia="MS PGothic"/>
                <w:noProof/>
                <w:lang w:eastAsia="en-NZ"/>
              </w:rPr>
              <w:t xml:space="preserve">iming of project </w:t>
            </w:r>
            <w:r w:rsidR="009334C3">
              <w:rPr>
                <w:rFonts w:eastAsia="MS PGothic"/>
                <w:noProof/>
                <w:lang w:eastAsia="en-NZ"/>
              </w:rPr>
              <w:t xml:space="preserve">has been adapted </w:t>
            </w:r>
            <w:r w:rsidR="009334C3" w:rsidRPr="16DB1AD5">
              <w:rPr>
                <w:rFonts w:eastAsia="MS PGothic"/>
                <w:noProof/>
                <w:lang w:eastAsia="en-NZ"/>
              </w:rPr>
              <w:t xml:space="preserve">to match the spend projection of this work. </w:t>
            </w:r>
          </w:p>
        </w:tc>
      </w:tr>
      <w:tr w:rsidR="00631951" w14:paraId="432F6327" w14:textId="6CEC3BC3" w:rsidTr="00631951">
        <w:trPr>
          <w:trHeight w:val="2748"/>
        </w:trPr>
        <w:tc>
          <w:tcPr>
            <w:tcW w:w="1447" w:type="pct"/>
          </w:tcPr>
          <w:p w14:paraId="3ED8BFB5" w14:textId="427F43F3" w:rsidR="00631951" w:rsidRDefault="00631951" w:rsidP="001E136D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 xml:space="preserve">Stormwater </w:t>
            </w:r>
          </w:p>
        </w:tc>
        <w:tc>
          <w:tcPr>
            <w:tcW w:w="3553" w:type="pct"/>
          </w:tcPr>
          <w:p w14:paraId="53B7DA74" w14:textId="17AFB1B0" w:rsidR="00631951" w:rsidRDefault="00631951" w:rsidP="001E136D">
            <w:pPr>
              <w:rPr>
                <w:rFonts w:eastAsia="MS PGothic"/>
                <w:b/>
                <w:bCs/>
                <w:noProof/>
                <w:lang w:eastAsia="en-NZ"/>
              </w:rPr>
            </w:pPr>
            <w:r w:rsidRPr="4C897127">
              <w:rPr>
                <w:rFonts w:eastAsia="MS PGothic"/>
                <w:b/>
                <w:bCs/>
                <w:noProof/>
                <w:lang w:eastAsia="en-NZ"/>
              </w:rPr>
              <w:t>Added in to 22/23 budgets:</w:t>
            </w:r>
          </w:p>
          <w:p w14:paraId="5EA384D8" w14:textId="77777777" w:rsidR="00631951" w:rsidRDefault="00631951" w:rsidP="009334C3">
            <w:pPr>
              <w:pStyle w:val="ListParagraph"/>
              <w:numPr>
                <w:ilvl w:val="0"/>
                <w:numId w:val="40"/>
              </w:numPr>
              <w:rPr>
                <w:rFonts w:eastAsia="MS PGothic"/>
                <w:noProof/>
                <w:lang w:eastAsia="en-NZ"/>
              </w:rPr>
            </w:pPr>
            <w:r w:rsidRPr="4C897127">
              <w:rPr>
                <w:noProof/>
                <w:lang w:eastAsia="en-NZ"/>
              </w:rPr>
              <w:t xml:space="preserve">$600k brought forward from 29/30 and 30/31 ($300k respectively) and into 22/23 </w:t>
            </w:r>
            <w:r>
              <w:rPr>
                <w:noProof/>
                <w:lang w:eastAsia="en-NZ"/>
              </w:rPr>
              <w:t>fo</w:t>
            </w:r>
            <w:r w:rsidRPr="4C897127">
              <w:rPr>
                <w:noProof/>
                <w:lang w:eastAsia="en-NZ"/>
              </w:rPr>
              <w:t xml:space="preserve">r CCTV </w:t>
            </w:r>
            <w:r>
              <w:rPr>
                <w:noProof/>
                <w:lang w:eastAsia="en-NZ"/>
              </w:rPr>
              <w:t>inspections of stormw</w:t>
            </w:r>
            <w:r w:rsidRPr="4C897127">
              <w:rPr>
                <w:noProof/>
                <w:lang w:eastAsia="en-NZ"/>
              </w:rPr>
              <w:t>ater pipes to proactively identify assets needing repairs or replacement</w:t>
            </w:r>
          </w:p>
          <w:p w14:paraId="422C3F57" w14:textId="77777777" w:rsidR="00631951" w:rsidRDefault="00631951" w:rsidP="001E136D">
            <w:pPr>
              <w:pStyle w:val="ListParagraph"/>
              <w:rPr>
                <w:noProof/>
                <w:lang w:eastAsia="en-NZ"/>
              </w:rPr>
            </w:pPr>
          </w:p>
          <w:p w14:paraId="225AB0AF" w14:textId="1E7DB9B4" w:rsidR="00631951" w:rsidRPr="00631951" w:rsidRDefault="00631951" w:rsidP="00631951">
            <w:pPr>
              <w:pStyle w:val="ListParagraph"/>
              <w:numPr>
                <w:ilvl w:val="0"/>
                <w:numId w:val="40"/>
              </w:numPr>
              <w:rPr>
                <w:rFonts w:eastAsia="MS PGothic"/>
                <w:noProof/>
                <w:lang w:eastAsia="en-NZ"/>
              </w:rPr>
            </w:pPr>
            <w:r>
              <w:rPr>
                <w:noProof/>
                <w:lang w:eastAsia="en-NZ"/>
              </w:rPr>
              <w:t xml:space="preserve">Of $4M for a Te Awa land purchase from 21/22, $646k brought into 22/23, and $3.38M pushed into 23/24. </w:t>
            </w:r>
            <w:r w:rsidRPr="16DB1AD5">
              <w:rPr>
                <w:rFonts w:eastAsia="MS PGothic"/>
                <w:noProof/>
                <w:lang w:eastAsia="en-NZ"/>
              </w:rPr>
              <w:t xml:space="preserve">The Timing of this project is governed by the development in this area. The current estimate of this work is in </w:t>
            </w:r>
            <w:r>
              <w:rPr>
                <w:rFonts w:eastAsia="MS PGothic"/>
                <w:noProof/>
                <w:lang w:eastAsia="en-NZ"/>
              </w:rPr>
              <w:t xml:space="preserve">22/23. </w:t>
            </w:r>
          </w:p>
        </w:tc>
      </w:tr>
      <w:tr w:rsidR="001E136D" w14:paraId="35C5723C" w14:textId="30455EC7" w:rsidTr="00631951">
        <w:tc>
          <w:tcPr>
            <w:tcW w:w="1447" w:type="pct"/>
          </w:tcPr>
          <w:p w14:paraId="7DC203FB" w14:textId="0F33B3CB" w:rsidR="001E136D" w:rsidRDefault="001E136D" w:rsidP="001E136D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Transport</w:t>
            </w:r>
          </w:p>
        </w:tc>
        <w:tc>
          <w:tcPr>
            <w:tcW w:w="3553" w:type="pct"/>
            <w:shd w:val="clear" w:color="auto" w:fill="E5E5E5" w:themeFill="accent6" w:themeFillTint="66"/>
          </w:tcPr>
          <w:p w14:paraId="171FB091" w14:textId="5E009D1E" w:rsidR="001E136D" w:rsidRDefault="001E136D" w:rsidP="001E136D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NIL</w:t>
            </w:r>
          </w:p>
        </w:tc>
      </w:tr>
      <w:tr w:rsidR="001E136D" w14:paraId="233EEEF3" w14:textId="69304A18" w:rsidTr="00631951">
        <w:trPr>
          <w:trHeight w:val="365"/>
        </w:trPr>
        <w:tc>
          <w:tcPr>
            <w:tcW w:w="1447" w:type="pct"/>
            <w:tcBorders>
              <w:bottom w:val="single" w:sz="4" w:space="0" w:color="auto"/>
            </w:tcBorders>
          </w:tcPr>
          <w:p w14:paraId="3E4B3272" w14:textId="76E42CE9" w:rsidR="001E136D" w:rsidRDefault="001E136D" w:rsidP="001E136D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Other Infrastructure</w:t>
            </w:r>
          </w:p>
        </w:tc>
        <w:tc>
          <w:tcPr>
            <w:tcW w:w="3553" w:type="pct"/>
            <w:tcBorders>
              <w:bottom w:val="single" w:sz="4" w:space="0" w:color="auto"/>
            </w:tcBorders>
            <w:shd w:val="clear" w:color="auto" w:fill="E5E5E5" w:themeFill="accent6" w:themeFillTint="66"/>
          </w:tcPr>
          <w:p w14:paraId="65DB259D" w14:textId="7F2B9C3E" w:rsidR="001E136D" w:rsidRDefault="001E136D" w:rsidP="001E136D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NIL</w:t>
            </w:r>
          </w:p>
        </w:tc>
      </w:tr>
      <w:tr w:rsidR="00631951" w14:paraId="16A1725C" w14:textId="77777777" w:rsidTr="00F66803">
        <w:trPr>
          <w:trHeight w:val="7127"/>
        </w:trPr>
        <w:tc>
          <w:tcPr>
            <w:tcW w:w="1447" w:type="pct"/>
          </w:tcPr>
          <w:p w14:paraId="544656DE" w14:textId="6A59C6C7" w:rsidR="00631951" w:rsidRDefault="00631951" w:rsidP="00631951">
            <w:pPr>
              <w:rPr>
                <w:noProof/>
                <w:lang w:eastAsia="en-NZ"/>
              </w:rPr>
            </w:pPr>
          </w:p>
        </w:tc>
        <w:tc>
          <w:tcPr>
            <w:tcW w:w="3553" w:type="pct"/>
            <w:shd w:val="clear" w:color="auto" w:fill="FFFFFF" w:themeFill="background1"/>
          </w:tcPr>
          <w:p w14:paraId="1030EADB" w14:textId="77777777" w:rsidR="00631951" w:rsidRDefault="00631951" w:rsidP="00631951">
            <w:pPr>
              <w:rPr>
                <w:rFonts w:eastAsia="MS PGothic"/>
                <w:b/>
                <w:bCs/>
                <w:noProof/>
                <w:lang w:eastAsia="en-NZ"/>
              </w:rPr>
            </w:pPr>
            <w:r w:rsidRPr="4C897127">
              <w:rPr>
                <w:rFonts w:eastAsia="MS PGothic"/>
                <w:b/>
                <w:bCs/>
                <w:noProof/>
                <w:lang w:eastAsia="en-NZ"/>
              </w:rPr>
              <w:t>Added in to 22/23 budgets:</w:t>
            </w:r>
          </w:p>
          <w:p w14:paraId="27C3DBD2" w14:textId="59AD252D" w:rsidR="00631951" w:rsidRDefault="00631951" w:rsidP="00631951">
            <w:pPr>
              <w:pStyle w:val="ListParagraph"/>
              <w:numPr>
                <w:ilvl w:val="0"/>
                <w:numId w:val="39"/>
              </w:numPr>
              <w:rPr>
                <w:noProof/>
                <w:lang w:eastAsia="en-NZ"/>
              </w:rPr>
            </w:pPr>
            <w:r w:rsidRPr="0DCEEB58">
              <w:rPr>
                <w:noProof/>
                <w:lang w:eastAsia="en-NZ"/>
              </w:rPr>
              <w:t>$4M additional CAPEX added to 22/23 budgets for the Napier Aquatic Centre. Investment in the Napier Aquatic Centre is required to ensure safety, compliance with national standards, and ongoing maintenance of level of service</w:t>
            </w:r>
          </w:p>
          <w:p w14:paraId="62780AFC" w14:textId="77777777" w:rsidR="00631951" w:rsidRPr="00631951" w:rsidRDefault="00631951" w:rsidP="00631951">
            <w:pPr>
              <w:pStyle w:val="ListParagraph"/>
              <w:rPr>
                <w:noProof/>
                <w:lang w:eastAsia="en-NZ"/>
              </w:rPr>
            </w:pPr>
          </w:p>
          <w:p w14:paraId="62240009" w14:textId="77777777" w:rsidR="00631951" w:rsidRDefault="00631951" w:rsidP="00631951">
            <w:pPr>
              <w:pStyle w:val="ListParagraph"/>
              <w:numPr>
                <w:ilvl w:val="0"/>
                <w:numId w:val="39"/>
              </w:numPr>
              <w:rPr>
                <w:noProof/>
                <w:lang w:eastAsia="en-NZ"/>
              </w:rPr>
            </w:pPr>
            <w:r w:rsidRPr="4C897127">
              <w:rPr>
                <w:noProof/>
                <w:lang w:eastAsia="en-NZ"/>
              </w:rPr>
              <w:t xml:space="preserve">$500k brought into 22/23 from 21/22 </w:t>
            </w:r>
            <w:r>
              <w:rPr>
                <w:noProof/>
                <w:lang w:eastAsia="en-NZ"/>
              </w:rPr>
              <w:t>t</w:t>
            </w:r>
            <w:r w:rsidRPr="4C897127">
              <w:rPr>
                <w:noProof/>
                <w:lang w:eastAsia="en-NZ"/>
              </w:rPr>
              <w:t>o progress detailed design and c</w:t>
            </w:r>
            <w:r>
              <w:rPr>
                <w:noProof/>
                <w:lang w:eastAsia="en-NZ"/>
              </w:rPr>
              <w:t>onsent processes for Te Pihinga</w:t>
            </w:r>
          </w:p>
          <w:p w14:paraId="1A223908" w14:textId="77777777" w:rsidR="00631951" w:rsidRPr="00631951" w:rsidRDefault="00631951" w:rsidP="00631951">
            <w:pPr>
              <w:pStyle w:val="ListParagraph"/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</w:pPr>
          </w:p>
          <w:p w14:paraId="4EAF1C95" w14:textId="263711C8" w:rsidR="00631951" w:rsidRPr="00631951" w:rsidRDefault="00631951" w:rsidP="00631951">
            <w:pPr>
              <w:pStyle w:val="ListParagraph"/>
              <w:numPr>
                <w:ilvl w:val="0"/>
                <w:numId w:val="39"/>
              </w:numPr>
              <w:rPr>
                <w:noProof/>
                <w:lang w:eastAsia="en-NZ"/>
              </w:rPr>
            </w:pPr>
            <w:r w:rsidRPr="00631951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$1.06M</w:t>
            </w:r>
            <w:r w:rsidRPr="00631951">
              <w:rPr>
                <w:noProof/>
                <w:lang w:eastAsia="en-NZ"/>
              </w:rPr>
              <w:t xml:space="preserve"> for the library rebuild brought into 22/23 from 21/22, as the business case and design concepts </w:t>
            </w:r>
            <w:r>
              <w:rPr>
                <w:noProof/>
                <w:lang w:eastAsia="en-NZ"/>
              </w:rPr>
              <w:t>were the</w:t>
            </w:r>
            <w:r w:rsidRPr="00631951">
              <w:rPr>
                <w:noProof/>
                <w:lang w:eastAsia="en-NZ"/>
              </w:rPr>
              <w:t xml:space="preserve"> priorities for 21/22.</w:t>
            </w:r>
          </w:p>
          <w:p w14:paraId="2EE85F70" w14:textId="77777777" w:rsidR="00631951" w:rsidRDefault="00631951" w:rsidP="00631951">
            <w:pPr>
              <w:pStyle w:val="ListParagraph"/>
              <w:rPr>
                <w:noProof/>
                <w:lang w:eastAsia="en-NZ"/>
              </w:rPr>
            </w:pPr>
          </w:p>
          <w:p w14:paraId="23A22754" w14:textId="77777777" w:rsidR="00631951" w:rsidRDefault="00631951" w:rsidP="00631951">
            <w:pPr>
              <w:pStyle w:val="ListParagraph"/>
              <w:numPr>
                <w:ilvl w:val="0"/>
                <w:numId w:val="39"/>
              </w:numPr>
              <w:rPr>
                <w:noProof/>
                <w:lang w:eastAsia="en-NZ"/>
              </w:rPr>
            </w:pPr>
            <w:r w:rsidRPr="16DB1AD5">
              <w:rPr>
                <w:noProof/>
                <w:lang w:eastAsia="en-NZ"/>
              </w:rPr>
              <w:t>$500k for Faraday Centre building upgrades brought into 22/23 from 21/22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 xml:space="preserve">. </w:t>
            </w:r>
            <w:r w:rsidRPr="16DB1AD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Council decisions about building purchase and strengthening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 xml:space="preserve"> are still pending, so this money was not required in 21/22.</w:t>
            </w:r>
          </w:p>
          <w:p w14:paraId="6CBD7F5F" w14:textId="77777777" w:rsidR="00631951" w:rsidRDefault="00631951" w:rsidP="00631951">
            <w:pPr>
              <w:pStyle w:val="ListParagraph"/>
              <w:rPr>
                <w:noProof/>
                <w:lang w:eastAsia="en-NZ"/>
              </w:rPr>
            </w:pPr>
          </w:p>
          <w:p w14:paraId="575A6678" w14:textId="77B819AA" w:rsidR="00631951" w:rsidRPr="00FE2653" w:rsidRDefault="00631951" w:rsidP="00631951">
            <w:pPr>
              <w:pStyle w:val="ListParagraph"/>
              <w:numPr>
                <w:ilvl w:val="0"/>
                <w:numId w:val="39"/>
              </w:numPr>
              <w:rPr>
                <w:noProof/>
                <w:lang w:eastAsia="en-NZ"/>
              </w:rPr>
            </w:pPr>
            <w:r w:rsidRPr="64199925">
              <w:rPr>
                <w:noProof/>
                <w:lang w:eastAsia="en-NZ"/>
              </w:rPr>
              <w:t xml:space="preserve">$1.8M for the MTG storage property purchase brought into 22/23 from 21/22. </w:t>
            </w:r>
          </w:p>
          <w:p w14:paraId="63CD050E" w14:textId="77777777" w:rsidR="00631951" w:rsidRDefault="00631951" w:rsidP="00FE2653">
            <w:pPr>
              <w:rPr>
                <w:rFonts w:eastAsia="MS PGothic"/>
                <w:b/>
                <w:bCs/>
                <w:noProof/>
                <w:lang w:eastAsia="en-NZ"/>
              </w:rPr>
            </w:pPr>
            <w:r w:rsidRPr="4C897127">
              <w:rPr>
                <w:rFonts w:eastAsia="MS PGothic"/>
                <w:b/>
                <w:bCs/>
                <w:noProof/>
                <w:lang w:eastAsia="en-NZ"/>
              </w:rPr>
              <w:t>Taken out of 22/23 budgets:</w:t>
            </w:r>
          </w:p>
          <w:p w14:paraId="297F6063" w14:textId="4B47C712" w:rsidR="00631951" w:rsidRDefault="00631951" w:rsidP="001E136D">
            <w:pPr>
              <w:pStyle w:val="ListParagraph"/>
              <w:numPr>
                <w:ilvl w:val="0"/>
                <w:numId w:val="39"/>
              </w:numPr>
              <w:rPr>
                <w:noProof/>
                <w:lang w:eastAsia="en-NZ"/>
              </w:rPr>
            </w:pPr>
            <w:r w:rsidRPr="4C897127">
              <w:rPr>
                <w:noProof/>
                <w:lang w:eastAsia="en-NZ"/>
              </w:rPr>
              <w:t>$3.84M for the library rebuild pushed out from 22/23 to 23/24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. The l</w:t>
            </w:r>
            <w:r w:rsidRPr="16DB1AD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 xml:space="preserve">ibrary redevelopment programme pushed out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as the</w:t>
            </w:r>
            <w:r w:rsidRPr="16DB1AD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 xml:space="preserve"> business case and design concept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 xml:space="preserve"> are the priorities</w:t>
            </w:r>
            <w:r w:rsidRPr="16DB1AD5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 xml:space="preserve"> for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 xml:space="preserve">22/23. </w:t>
            </w:r>
          </w:p>
        </w:tc>
      </w:tr>
      <w:tr w:rsidR="001E136D" w14:paraId="13D1D2E1" w14:textId="73B486C3" w:rsidTr="00631951">
        <w:tc>
          <w:tcPr>
            <w:tcW w:w="1447" w:type="pct"/>
          </w:tcPr>
          <w:p w14:paraId="3C04A80F" w14:textId="6FB13560" w:rsidR="001E136D" w:rsidRDefault="001E136D" w:rsidP="001E136D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 xml:space="preserve">Property Holdings </w:t>
            </w:r>
          </w:p>
        </w:tc>
        <w:tc>
          <w:tcPr>
            <w:tcW w:w="3553" w:type="pct"/>
            <w:shd w:val="clear" w:color="auto" w:fill="E5E5E5" w:themeFill="accent6" w:themeFillTint="66"/>
          </w:tcPr>
          <w:p w14:paraId="19B01993" w14:textId="1AC9206D" w:rsidR="001E136D" w:rsidRPr="00334803" w:rsidRDefault="001E136D" w:rsidP="001E136D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 xml:space="preserve">NIL </w:t>
            </w:r>
          </w:p>
        </w:tc>
      </w:tr>
      <w:tr w:rsidR="001E136D" w14:paraId="03947757" w14:textId="47B0E2F9" w:rsidTr="00631951">
        <w:tc>
          <w:tcPr>
            <w:tcW w:w="1447" w:type="pct"/>
          </w:tcPr>
          <w:p w14:paraId="341DC93A" w14:textId="012EE3FE" w:rsidR="001E136D" w:rsidRDefault="001E136D" w:rsidP="001E136D">
            <w:pPr>
              <w:rPr>
                <w:noProof/>
                <w:lang w:eastAsia="en-NZ"/>
              </w:rPr>
            </w:pPr>
            <w:r w:rsidRPr="4C897127">
              <w:rPr>
                <w:noProof/>
                <w:lang w:eastAsia="en-NZ"/>
              </w:rPr>
              <w:t xml:space="preserve">Support Units </w:t>
            </w:r>
          </w:p>
        </w:tc>
        <w:tc>
          <w:tcPr>
            <w:tcW w:w="3553" w:type="pct"/>
          </w:tcPr>
          <w:p w14:paraId="38B57066" w14:textId="3875DA37" w:rsidR="001E136D" w:rsidRPr="00FE2653" w:rsidRDefault="001E136D" w:rsidP="001E136D">
            <w:pPr>
              <w:rPr>
                <w:rFonts w:eastAsia="MS PGothic"/>
                <w:b/>
                <w:bCs/>
                <w:noProof/>
                <w:lang w:eastAsia="en-NZ"/>
              </w:rPr>
            </w:pPr>
            <w:r w:rsidRPr="4C897127">
              <w:rPr>
                <w:rFonts w:eastAsia="MS PGothic"/>
                <w:b/>
                <w:bCs/>
                <w:noProof/>
                <w:lang w:eastAsia="en-NZ"/>
              </w:rPr>
              <w:t>Taken out of 22/23 budgets:</w:t>
            </w:r>
          </w:p>
          <w:p w14:paraId="75BD8B43" w14:textId="711E0500" w:rsidR="001E136D" w:rsidRPr="00334803" w:rsidRDefault="001E136D" w:rsidP="001E136D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NZ"/>
              </w:rPr>
            </w:pPr>
            <w:r w:rsidRPr="64199925">
              <w:rPr>
                <w:noProof/>
                <w:lang w:eastAsia="en-NZ"/>
              </w:rPr>
              <w:t xml:space="preserve">$600k, $2.17M, and $1.4M pushed out from 21/22, 22/23 and 23/24 respectively to place $4.2M in the budget for 25/26 for replacement of the enterprise asset management system. This project has been delayed. </w:t>
            </w:r>
          </w:p>
        </w:tc>
      </w:tr>
    </w:tbl>
    <w:p w14:paraId="457C96C4" w14:textId="0E405DDF" w:rsidR="00334803" w:rsidRDefault="00334803" w:rsidP="003C27DA">
      <w:pPr>
        <w:rPr>
          <w:noProof/>
          <w:lang w:eastAsia="en-NZ"/>
        </w:rPr>
      </w:pPr>
    </w:p>
    <w:p w14:paraId="3DB64BED" w14:textId="77777777" w:rsidR="006A30EC" w:rsidRDefault="006A30EC" w:rsidP="003C27DA">
      <w:pPr>
        <w:rPr>
          <w:noProof/>
          <w:lang w:eastAsia="en-NZ"/>
        </w:rPr>
      </w:pPr>
    </w:p>
    <w:p w14:paraId="282493F5" w14:textId="77777777" w:rsidR="006A30EC" w:rsidRDefault="006A30EC" w:rsidP="003C27DA">
      <w:pPr>
        <w:rPr>
          <w:noProof/>
          <w:lang w:eastAsia="en-NZ"/>
        </w:rPr>
      </w:pPr>
    </w:p>
    <w:p w14:paraId="0568FDB6" w14:textId="77777777" w:rsidR="006A30EC" w:rsidRDefault="006A30EC" w:rsidP="003C27DA">
      <w:pPr>
        <w:rPr>
          <w:noProof/>
          <w:lang w:eastAsia="en-NZ"/>
        </w:rPr>
      </w:pPr>
    </w:p>
    <w:p w14:paraId="6CC85389" w14:textId="77777777" w:rsidR="006A30EC" w:rsidRDefault="006A30EC" w:rsidP="003C27DA">
      <w:pPr>
        <w:rPr>
          <w:noProof/>
          <w:lang w:eastAsia="en-NZ"/>
        </w:rPr>
      </w:pPr>
    </w:p>
    <w:p w14:paraId="293FD78F" w14:textId="77777777" w:rsidR="006A30EC" w:rsidRDefault="006A30EC" w:rsidP="003C27DA">
      <w:pPr>
        <w:rPr>
          <w:noProof/>
          <w:lang w:eastAsia="en-NZ"/>
        </w:rPr>
      </w:pPr>
    </w:p>
    <w:p w14:paraId="75CB0D30" w14:textId="77777777" w:rsidR="006A30EC" w:rsidRDefault="006A30EC" w:rsidP="003C27DA">
      <w:pPr>
        <w:rPr>
          <w:noProof/>
          <w:lang w:eastAsia="en-NZ"/>
        </w:rPr>
      </w:pPr>
    </w:p>
    <w:p w14:paraId="086E4B43" w14:textId="77777777" w:rsidR="006A30EC" w:rsidRDefault="006A30EC" w:rsidP="003C27DA">
      <w:pPr>
        <w:rPr>
          <w:noProof/>
          <w:lang w:eastAsia="en-NZ"/>
        </w:rPr>
      </w:pPr>
    </w:p>
    <w:p w14:paraId="55493A84" w14:textId="77777777" w:rsidR="006A30EC" w:rsidRDefault="006A30EC" w:rsidP="003C27DA">
      <w:pPr>
        <w:rPr>
          <w:noProof/>
          <w:lang w:eastAsia="en-NZ"/>
        </w:rPr>
      </w:pPr>
    </w:p>
    <w:p w14:paraId="1CFC84BC" w14:textId="77777777" w:rsidR="006A30EC" w:rsidRDefault="006A30EC" w:rsidP="003C27DA">
      <w:pPr>
        <w:rPr>
          <w:noProof/>
          <w:lang w:eastAsia="en-NZ"/>
        </w:rPr>
      </w:pPr>
    </w:p>
    <w:p w14:paraId="39B1F81D" w14:textId="77777777" w:rsidR="006A30EC" w:rsidRDefault="006A30EC" w:rsidP="003C27DA">
      <w:pPr>
        <w:rPr>
          <w:noProof/>
          <w:lang w:eastAsia="en-NZ"/>
        </w:rPr>
      </w:pPr>
    </w:p>
    <w:p w14:paraId="36CDD438" w14:textId="77777777" w:rsidR="006A30EC" w:rsidRDefault="006A30EC" w:rsidP="003C27DA">
      <w:pPr>
        <w:rPr>
          <w:noProof/>
          <w:lang w:eastAsia="en-NZ"/>
        </w:rPr>
      </w:pPr>
    </w:p>
    <w:p w14:paraId="426F5320" w14:textId="77777777" w:rsidR="006A30EC" w:rsidRDefault="006A30EC" w:rsidP="003C27DA">
      <w:pPr>
        <w:rPr>
          <w:noProof/>
          <w:lang w:eastAsia="en-NZ"/>
        </w:rPr>
      </w:pPr>
    </w:p>
    <w:p w14:paraId="622C0FE5" w14:textId="77777777" w:rsidR="006A30EC" w:rsidRDefault="006A30EC" w:rsidP="003C27DA">
      <w:r w:rsidRPr="006A30EC">
        <w:rPr>
          <w:b/>
          <w:bCs/>
          <w:color w:val="43B4E2"/>
          <w:sz w:val="23"/>
          <w:szCs w:val="23"/>
        </w:rPr>
        <w:t>Overview of changes to Capital Programme</w:t>
      </w:r>
      <w:r>
        <w:t xml:space="preserve"> </w:t>
      </w:r>
    </w:p>
    <w:p w14:paraId="74F4668D" w14:textId="4CA85DB3" w:rsidR="006A30EC" w:rsidRDefault="006A30EC" w:rsidP="003C27DA">
      <w:r>
        <w:t xml:space="preserve">The following chart shows the planned capital spend by activity group in the 2022/23 annual plan, versus what was projected in the LTP: </w:t>
      </w:r>
    </w:p>
    <w:p w14:paraId="2F335014" w14:textId="3C963252" w:rsidR="006A30EC" w:rsidRDefault="00BA66A0" w:rsidP="003C27DA">
      <w:pPr>
        <w:rPr>
          <w:noProof/>
          <w:lang w:eastAsia="en-NZ"/>
        </w:rPr>
      </w:pPr>
      <w:r w:rsidRPr="00BA66A0">
        <w:rPr>
          <w:noProof/>
          <w:lang w:val="en-NZ" w:eastAsia="en-NZ"/>
        </w:rPr>
        <w:drawing>
          <wp:inline distT="0" distB="0" distL="0" distR="0" wp14:anchorId="69153CFE" wp14:editId="7B96F2F2">
            <wp:extent cx="6727371" cy="4086808"/>
            <wp:effectExtent l="0" t="0" r="1651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D97637" w14:textId="77A71681" w:rsidR="006A30EC" w:rsidRDefault="006A30EC" w:rsidP="003C27DA">
      <w:pPr>
        <w:rPr>
          <w:noProof/>
          <w:lang w:eastAsia="en-NZ"/>
        </w:rPr>
      </w:pPr>
    </w:p>
    <w:p w14:paraId="60173BB0" w14:textId="5313686C" w:rsidR="006A30EC" w:rsidRDefault="006A30EC" w:rsidP="003C27DA">
      <w:r>
        <w:t xml:space="preserve">The following chart shows the overall changes made to 2022/23 and how that impacts across the LTP programme: </w:t>
      </w:r>
    </w:p>
    <w:p w14:paraId="2A99D5DF" w14:textId="0C5DE18D" w:rsidR="006A30EC" w:rsidRDefault="00BA66A0" w:rsidP="003C27DA">
      <w:r w:rsidRPr="00BA66A0">
        <w:rPr>
          <w:noProof/>
          <w:lang w:val="en-NZ" w:eastAsia="en-NZ"/>
        </w:rPr>
        <w:drawing>
          <wp:inline distT="0" distB="0" distL="0" distR="0" wp14:anchorId="08A294D9" wp14:editId="7B779364">
            <wp:extent cx="6671388" cy="3946849"/>
            <wp:effectExtent l="0" t="0" r="15240" b="158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7E6C0B" w14:textId="77777777" w:rsidR="006A30EC" w:rsidRDefault="006A30EC" w:rsidP="003C27DA">
      <w:pPr>
        <w:rPr>
          <w:noProof/>
          <w:lang w:eastAsia="en-NZ"/>
        </w:rPr>
      </w:pPr>
    </w:p>
    <w:sectPr w:rsidR="006A30EC" w:rsidSect="00631951">
      <w:headerReference w:type="default" r:id="rId14"/>
      <w:pgSz w:w="11900" w:h="16840"/>
      <w:pgMar w:top="720" w:right="720" w:bottom="720" w:left="720" w:header="794" w:footer="79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BC2C7FB" w16cex:dateUtc="2022-02-27T22:28:28.7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03FD56" w16cid:durableId="3BC2C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46DF0" w14:textId="77777777" w:rsidR="00B163AE" w:rsidRDefault="00B163AE" w:rsidP="0032114E">
      <w:r>
        <w:separator/>
      </w:r>
    </w:p>
  </w:endnote>
  <w:endnote w:type="continuationSeparator" w:id="0">
    <w:p w14:paraId="110F4A6F" w14:textId="77777777" w:rsidR="00B163AE" w:rsidRDefault="00B163AE" w:rsidP="0032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4F77B" w14:textId="77777777" w:rsidR="00B163AE" w:rsidRDefault="00B163AE" w:rsidP="0032114E">
      <w:r>
        <w:separator/>
      </w:r>
    </w:p>
  </w:footnote>
  <w:footnote w:type="continuationSeparator" w:id="0">
    <w:p w14:paraId="527A1FAA" w14:textId="77777777" w:rsidR="00B163AE" w:rsidRDefault="00B163AE" w:rsidP="00321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EED7" w14:textId="7A63C71C" w:rsidR="00984C98" w:rsidRDefault="005E2E69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1" layoutInCell="1" allowOverlap="1" wp14:anchorId="60DA810B" wp14:editId="369749D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9810" cy="15113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718_NCC letterhead graphi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810" cy="1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3CD"/>
    <w:multiLevelType w:val="hybridMultilevel"/>
    <w:tmpl w:val="FA7616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00680"/>
    <w:multiLevelType w:val="hybridMultilevel"/>
    <w:tmpl w:val="F5F6677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E0FD7"/>
    <w:multiLevelType w:val="hybridMultilevel"/>
    <w:tmpl w:val="CE7C154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516F1"/>
    <w:multiLevelType w:val="hybridMultilevel"/>
    <w:tmpl w:val="B26415F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F7ECF"/>
    <w:multiLevelType w:val="hybridMultilevel"/>
    <w:tmpl w:val="4016F79C"/>
    <w:lvl w:ilvl="0" w:tplc="BFC44A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AA6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4E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2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A3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04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EB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85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E7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86DAB"/>
    <w:multiLevelType w:val="hybridMultilevel"/>
    <w:tmpl w:val="41A6E5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06B95"/>
    <w:multiLevelType w:val="hybridMultilevel"/>
    <w:tmpl w:val="24F2A9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5741"/>
    <w:multiLevelType w:val="hybridMultilevel"/>
    <w:tmpl w:val="8F1CB1D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03B60"/>
    <w:multiLevelType w:val="hybridMultilevel"/>
    <w:tmpl w:val="06703F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20549E"/>
    <w:multiLevelType w:val="hybridMultilevel"/>
    <w:tmpl w:val="BF64FC6A"/>
    <w:lvl w:ilvl="0" w:tplc="1EE46CE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6541"/>
    <w:multiLevelType w:val="hybridMultilevel"/>
    <w:tmpl w:val="7F24E69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965DEF"/>
    <w:multiLevelType w:val="hybridMultilevel"/>
    <w:tmpl w:val="41A6E5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B55129"/>
    <w:multiLevelType w:val="hybridMultilevel"/>
    <w:tmpl w:val="8F9CCCA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A2752"/>
    <w:multiLevelType w:val="hybridMultilevel"/>
    <w:tmpl w:val="E6FCEDF6"/>
    <w:lvl w:ilvl="0" w:tplc="DB8633A6">
      <w:start w:val="1"/>
      <w:numFmt w:val="decimal"/>
      <w:pStyle w:val="Normal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5555BA"/>
    <w:multiLevelType w:val="hybridMultilevel"/>
    <w:tmpl w:val="2160E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045D3"/>
    <w:multiLevelType w:val="hybridMultilevel"/>
    <w:tmpl w:val="8736891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35CC6"/>
    <w:multiLevelType w:val="hybridMultilevel"/>
    <w:tmpl w:val="F7587034"/>
    <w:lvl w:ilvl="0" w:tplc="F1563710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B5B45"/>
    <w:multiLevelType w:val="hybridMultilevel"/>
    <w:tmpl w:val="4B1CD9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F68A3"/>
    <w:multiLevelType w:val="hybridMultilevel"/>
    <w:tmpl w:val="13F6335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143522"/>
    <w:multiLevelType w:val="hybridMultilevel"/>
    <w:tmpl w:val="4AFACC1A"/>
    <w:lvl w:ilvl="0" w:tplc="F71A2AE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A7B26"/>
    <w:multiLevelType w:val="hybridMultilevel"/>
    <w:tmpl w:val="0672B180"/>
    <w:lvl w:ilvl="0" w:tplc="F15637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A5CA9"/>
    <w:multiLevelType w:val="hybridMultilevel"/>
    <w:tmpl w:val="1CA09E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84165"/>
    <w:multiLevelType w:val="hybridMultilevel"/>
    <w:tmpl w:val="155E124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8655B9"/>
    <w:multiLevelType w:val="hybridMultilevel"/>
    <w:tmpl w:val="B5BEF0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E2567"/>
    <w:multiLevelType w:val="hybridMultilevel"/>
    <w:tmpl w:val="1FB486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E5A88"/>
    <w:multiLevelType w:val="hybridMultilevel"/>
    <w:tmpl w:val="41A6E5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1851ED"/>
    <w:multiLevelType w:val="hybridMultilevel"/>
    <w:tmpl w:val="A55A1A12"/>
    <w:lvl w:ilvl="0" w:tplc="61B27F78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9E7C0E"/>
    <w:multiLevelType w:val="hybridMultilevel"/>
    <w:tmpl w:val="62664AF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720CBF"/>
    <w:multiLevelType w:val="hybridMultilevel"/>
    <w:tmpl w:val="2F18393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DE4014"/>
    <w:multiLevelType w:val="hybridMultilevel"/>
    <w:tmpl w:val="B26415F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9121E0"/>
    <w:multiLevelType w:val="hybridMultilevel"/>
    <w:tmpl w:val="7E285C1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58609A"/>
    <w:multiLevelType w:val="hybridMultilevel"/>
    <w:tmpl w:val="7910D9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07BC8"/>
    <w:multiLevelType w:val="hybridMultilevel"/>
    <w:tmpl w:val="D10423D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C21D5B"/>
    <w:multiLevelType w:val="hybridMultilevel"/>
    <w:tmpl w:val="534626F2"/>
    <w:lvl w:ilvl="0" w:tplc="F15637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B3871"/>
    <w:multiLevelType w:val="hybridMultilevel"/>
    <w:tmpl w:val="E7A06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E532E"/>
    <w:multiLevelType w:val="hybridMultilevel"/>
    <w:tmpl w:val="C54C78E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954AF7"/>
    <w:multiLevelType w:val="hybridMultilevel"/>
    <w:tmpl w:val="3606F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64B5B"/>
    <w:multiLevelType w:val="hybridMultilevel"/>
    <w:tmpl w:val="13F6335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DB3B50"/>
    <w:multiLevelType w:val="hybridMultilevel"/>
    <w:tmpl w:val="3A52BB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D3C73"/>
    <w:multiLevelType w:val="hybridMultilevel"/>
    <w:tmpl w:val="41A6E5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471DF8"/>
    <w:multiLevelType w:val="hybridMultilevel"/>
    <w:tmpl w:val="D5BADA7A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6"/>
  </w:num>
  <w:num w:numId="3">
    <w:abstractNumId w:val="13"/>
  </w:num>
  <w:num w:numId="4">
    <w:abstractNumId w:val="31"/>
  </w:num>
  <w:num w:numId="5">
    <w:abstractNumId w:val="14"/>
  </w:num>
  <w:num w:numId="6">
    <w:abstractNumId w:val="38"/>
  </w:num>
  <w:num w:numId="7">
    <w:abstractNumId w:val="36"/>
  </w:num>
  <w:num w:numId="8">
    <w:abstractNumId w:val="15"/>
  </w:num>
  <w:num w:numId="9">
    <w:abstractNumId w:val="21"/>
  </w:num>
  <w:num w:numId="10">
    <w:abstractNumId w:val="34"/>
  </w:num>
  <w:num w:numId="11">
    <w:abstractNumId w:val="17"/>
  </w:num>
  <w:num w:numId="12">
    <w:abstractNumId w:val="3"/>
  </w:num>
  <w:num w:numId="13">
    <w:abstractNumId w:val="32"/>
  </w:num>
  <w:num w:numId="14">
    <w:abstractNumId w:val="1"/>
  </w:num>
  <w:num w:numId="15">
    <w:abstractNumId w:val="22"/>
  </w:num>
  <w:num w:numId="16">
    <w:abstractNumId w:val="30"/>
  </w:num>
  <w:num w:numId="17">
    <w:abstractNumId w:val="8"/>
  </w:num>
  <w:num w:numId="18">
    <w:abstractNumId w:val="18"/>
  </w:num>
  <w:num w:numId="19">
    <w:abstractNumId w:val="35"/>
  </w:num>
  <w:num w:numId="20">
    <w:abstractNumId w:val="37"/>
  </w:num>
  <w:num w:numId="21">
    <w:abstractNumId w:val="19"/>
  </w:num>
  <w:num w:numId="22">
    <w:abstractNumId w:val="40"/>
  </w:num>
  <w:num w:numId="23">
    <w:abstractNumId w:val="28"/>
  </w:num>
  <w:num w:numId="24">
    <w:abstractNumId w:val="0"/>
  </w:num>
  <w:num w:numId="25">
    <w:abstractNumId w:val="24"/>
  </w:num>
  <w:num w:numId="26">
    <w:abstractNumId w:val="12"/>
  </w:num>
  <w:num w:numId="27">
    <w:abstractNumId w:val="10"/>
  </w:num>
  <w:num w:numId="28">
    <w:abstractNumId w:val="2"/>
  </w:num>
  <w:num w:numId="29">
    <w:abstractNumId w:val="27"/>
  </w:num>
  <w:num w:numId="30">
    <w:abstractNumId w:val="23"/>
  </w:num>
  <w:num w:numId="31">
    <w:abstractNumId w:val="5"/>
  </w:num>
  <w:num w:numId="32">
    <w:abstractNumId w:val="6"/>
  </w:num>
  <w:num w:numId="33">
    <w:abstractNumId w:val="29"/>
  </w:num>
  <w:num w:numId="34">
    <w:abstractNumId w:val="25"/>
  </w:num>
  <w:num w:numId="35">
    <w:abstractNumId w:val="11"/>
  </w:num>
  <w:num w:numId="36">
    <w:abstractNumId w:val="39"/>
  </w:num>
  <w:num w:numId="37">
    <w:abstractNumId w:val="7"/>
  </w:num>
  <w:num w:numId="38">
    <w:abstractNumId w:val="16"/>
  </w:num>
  <w:num w:numId="39">
    <w:abstractNumId w:val="20"/>
  </w:num>
  <w:num w:numId="40">
    <w:abstractNumId w:val="33"/>
  </w:num>
  <w:num w:numId="4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6"/>
    <w:rsid w:val="00005DC2"/>
    <w:rsid w:val="000066F7"/>
    <w:rsid w:val="000177CA"/>
    <w:rsid w:val="00022BA1"/>
    <w:rsid w:val="00026BBE"/>
    <w:rsid w:val="00032D54"/>
    <w:rsid w:val="00032FD9"/>
    <w:rsid w:val="00035A25"/>
    <w:rsid w:val="00043456"/>
    <w:rsid w:val="00043C65"/>
    <w:rsid w:val="00047843"/>
    <w:rsid w:val="00051AEC"/>
    <w:rsid w:val="00052E8A"/>
    <w:rsid w:val="0005367F"/>
    <w:rsid w:val="00060DB9"/>
    <w:rsid w:val="00061F7D"/>
    <w:rsid w:val="000634F9"/>
    <w:rsid w:val="00073EBE"/>
    <w:rsid w:val="00077A62"/>
    <w:rsid w:val="00077A88"/>
    <w:rsid w:val="00077D71"/>
    <w:rsid w:val="00080A28"/>
    <w:rsid w:val="00082557"/>
    <w:rsid w:val="0008336A"/>
    <w:rsid w:val="00094CA2"/>
    <w:rsid w:val="00094EE5"/>
    <w:rsid w:val="00095B59"/>
    <w:rsid w:val="000A19DE"/>
    <w:rsid w:val="000A47B7"/>
    <w:rsid w:val="000A73A3"/>
    <w:rsid w:val="000B675F"/>
    <w:rsid w:val="000B7112"/>
    <w:rsid w:val="000C248E"/>
    <w:rsid w:val="000C31FB"/>
    <w:rsid w:val="000C412E"/>
    <w:rsid w:val="000C5AB3"/>
    <w:rsid w:val="000C7667"/>
    <w:rsid w:val="000D22DC"/>
    <w:rsid w:val="000D7D34"/>
    <w:rsid w:val="000E1CCE"/>
    <w:rsid w:val="000E20CB"/>
    <w:rsid w:val="000E4774"/>
    <w:rsid w:val="000F0507"/>
    <w:rsid w:val="000F1133"/>
    <w:rsid w:val="000F13BB"/>
    <w:rsid w:val="000F3DB2"/>
    <w:rsid w:val="000F4C28"/>
    <w:rsid w:val="001009F4"/>
    <w:rsid w:val="00112AD9"/>
    <w:rsid w:val="00121CB9"/>
    <w:rsid w:val="00123604"/>
    <w:rsid w:val="001262F9"/>
    <w:rsid w:val="001410FA"/>
    <w:rsid w:val="0014154E"/>
    <w:rsid w:val="00144009"/>
    <w:rsid w:val="00145EA6"/>
    <w:rsid w:val="0015068B"/>
    <w:rsid w:val="00157245"/>
    <w:rsid w:val="00160028"/>
    <w:rsid w:val="00167812"/>
    <w:rsid w:val="001706CE"/>
    <w:rsid w:val="0017323A"/>
    <w:rsid w:val="00173999"/>
    <w:rsid w:val="00181882"/>
    <w:rsid w:val="0019112E"/>
    <w:rsid w:val="001927D7"/>
    <w:rsid w:val="001A091F"/>
    <w:rsid w:val="001A1C37"/>
    <w:rsid w:val="001A36BB"/>
    <w:rsid w:val="001A3A3C"/>
    <w:rsid w:val="001A4913"/>
    <w:rsid w:val="001A69E1"/>
    <w:rsid w:val="001B4165"/>
    <w:rsid w:val="001B5CDA"/>
    <w:rsid w:val="001C0872"/>
    <w:rsid w:val="001D08B5"/>
    <w:rsid w:val="001E136D"/>
    <w:rsid w:val="001E7280"/>
    <w:rsid w:val="001E7727"/>
    <w:rsid w:val="001F0057"/>
    <w:rsid w:val="001F2EE3"/>
    <w:rsid w:val="001F4488"/>
    <w:rsid w:val="001F692B"/>
    <w:rsid w:val="00203941"/>
    <w:rsid w:val="00206BDB"/>
    <w:rsid w:val="00207C9D"/>
    <w:rsid w:val="00215E9A"/>
    <w:rsid w:val="00220869"/>
    <w:rsid w:val="00225638"/>
    <w:rsid w:val="00225D64"/>
    <w:rsid w:val="00231409"/>
    <w:rsid w:val="00242DC5"/>
    <w:rsid w:val="00247FF1"/>
    <w:rsid w:val="0025096A"/>
    <w:rsid w:val="00255B64"/>
    <w:rsid w:val="00257E9C"/>
    <w:rsid w:val="0026274B"/>
    <w:rsid w:val="00262E84"/>
    <w:rsid w:val="00262FA1"/>
    <w:rsid w:val="00263B4A"/>
    <w:rsid w:val="00266254"/>
    <w:rsid w:val="00267ADB"/>
    <w:rsid w:val="00274030"/>
    <w:rsid w:val="00274CC1"/>
    <w:rsid w:val="00276609"/>
    <w:rsid w:val="002815F4"/>
    <w:rsid w:val="00292ECC"/>
    <w:rsid w:val="002B01F1"/>
    <w:rsid w:val="002B4F8A"/>
    <w:rsid w:val="002B4FED"/>
    <w:rsid w:val="002B70C2"/>
    <w:rsid w:val="002C0711"/>
    <w:rsid w:val="002C137A"/>
    <w:rsid w:val="002C138E"/>
    <w:rsid w:val="002C218F"/>
    <w:rsid w:val="002C5071"/>
    <w:rsid w:val="002C67CF"/>
    <w:rsid w:val="002D218B"/>
    <w:rsid w:val="002D248F"/>
    <w:rsid w:val="002D67EE"/>
    <w:rsid w:val="002D6B33"/>
    <w:rsid w:val="002E037B"/>
    <w:rsid w:val="002E57A4"/>
    <w:rsid w:val="002E64B9"/>
    <w:rsid w:val="002F632D"/>
    <w:rsid w:val="0030636D"/>
    <w:rsid w:val="00310650"/>
    <w:rsid w:val="00320A4A"/>
    <w:rsid w:val="00321004"/>
    <w:rsid w:val="0032114E"/>
    <w:rsid w:val="00321BEE"/>
    <w:rsid w:val="00334803"/>
    <w:rsid w:val="00334EA6"/>
    <w:rsid w:val="00335907"/>
    <w:rsid w:val="0035112F"/>
    <w:rsid w:val="003539AA"/>
    <w:rsid w:val="003658C4"/>
    <w:rsid w:val="003710AE"/>
    <w:rsid w:val="00372ACC"/>
    <w:rsid w:val="0037402C"/>
    <w:rsid w:val="00374147"/>
    <w:rsid w:val="0038175C"/>
    <w:rsid w:val="003876AF"/>
    <w:rsid w:val="00392433"/>
    <w:rsid w:val="00396C16"/>
    <w:rsid w:val="00397840"/>
    <w:rsid w:val="003A4ACF"/>
    <w:rsid w:val="003B5924"/>
    <w:rsid w:val="003C00B3"/>
    <w:rsid w:val="003C1DE4"/>
    <w:rsid w:val="003C27DA"/>
    <w:rsid w:val="003C7B9D"/>
    <w:rsid w:val="003D0624"/>
    <w:rsid w:val="003D14DE"/>
    <w:rsid w:val="003D15EF"/>
    <w:rsid w:val="003E1888"/>
    <w:rsid w:val="003E1B74"/>
    <w:rsid w:val="003E46C6"/>
    <w:rsid w:val="003F0479"/>
    <w:rsid w:val="003F1DCA"/>
    <w:rsid w:val="003F22E2"/>
    <w:rsid w:val="003F255F"/>
    <w:rsid w:val="003F3188"/>
    <w:rsid w:val="003F322C"/>
    <w:rsid w:val="004067DB"/>
    <w:rsid w:val="0041265F"/>
    <w:rsid w:val="00416670"/>
    <w:rsid w:val="004171D9"/>
    <w:rsid w:val="00431C3F"/>
    <w:rsid w:val="004343C3"/>
    <w:rsid w:val="004404DA"/>
    <w:rsid w:val="0044103D"/>
    <w:rsid w:val="00441764"/>
    <w:rsid w:val="00441BF8"/>
    <w:rsid w:val="004440CB"/>
    <w:rsid w:val="00445C24"/>
    <w:rsid w:val="00446BD6"/>
    <w:rsid w:val="00463C29"/>
    <w:rsid w:val="00470267"/>
    <w:rsid w:val="004770CD"/>
    <w:rsid w:val="004A0BE8"/>
    <w:rsid w:val="004A1D99"/>
    <w:rsid w:val="004A2BB7"/>
    <w:rsid w:val="004A2CA2"/>
    <w:rsid w:val="004A7286"/>
    <w:rsid w:val="004A72D8"/>
    <w:rsid w:val="004A7E42"/>
    <w:rsid w:val="004B4381"/>
    <w:rsid w:val="004B77FA"/>
    <w:rsid w:val="004C2894"/>
    <w:rsid w:val="004C487B"/>
    <w:rsid w:val="004C4AA4"/>
    <w:rsid w:val="004C5219"/>
    <w:rsid w:val="004D23F8"/>
    <w:rsid w:val="004D27DA"/>
    <w:rsid w:val="005000AF"/>
    <w:rsid w:val="00501D5D"/>
    <w:rsid w:val="00503153"/>
    <w:rsid w:val="005051B4"/>
    <w:rsid w:val="00512C1C"/>
    <w:rsid w:val="005139ED"/>
    <w:rsid w:val="00516046"/>
    <w:rsid w:val="0051651A"/>
    <w:rsid w:val="00516C4B"/>
    <w:rsid w:val="00520714"/>
    <w:rsid w:val="005253CC"/>
    <w:rsid w:val="00531163"/>
    <w:rsid w:val="00534FFD"/>
    <w:rsid w:val="00535007"/>
    <w:rsid w:val="005437A0"/>
    <w:rsid w:val="005437EC"/>
    <w:rsid w:val="00544C69"/>
    <w:rsid w:val="00544CEF"/>
    <w:rsid w:val="005539C7"/>
    <w:rsid w:val="005543A0"/>
    <w:rsid w:val="0056001C"/>
    <w:rsid w:val="00566308"/>
    <w:rsid w:val="00572BCE"/>
    <w:rsid w:val="0057300B"/>
    <w:rsid w:val="00573AC0"/>
    <w:rsid w:val="00580CE8"/>
    <w:rsid w:val="0058743A"/>
    <w:rsid w:val="00587812"/>
    <w:rsid w:val="0059194D"/>
    <w:rsid w:val="005A05AB"/>
    <w:rsid w:val="005A53C7"/>
    <w:rsid w:val="005B0603"/>
    <w:rsid w:val="005B625C"/>
    <w:rsid w:val="005C178C"/>
    <w:rsid w:val="005C3BE1"/>
    <w:rsid w:val="005C60AB"/>
    <w:rsid w:val="005D28A1"/>
    <w:rsid w:val="005D5062"/>
    <w:rsid w:val="005D6BA1"/>
    <w:rsid w:val="005E0F69"/>
    <w:rsid w:val="005E2E69"/>
    <w:rsid w:val="005E38B2"/>
    <w:rsid w:val="005E4992"/>
    <w:rsid w:val="005F13C0"/>
    <w:rsid w:val="005F6FFB"/>
    <w:rsid w:val="00603793"/>
    <w:rsid w:val="00604665"/>
    <w:rsid w:val="006101B5"/>
    <w:rsid w:val="00617778"/>
    <w:rsid w:val="00631282"/>
    <w:rsid w:val="00631951"/>
    <w:rsid w:val="00635DCA"/>
    <w:rsid w:val="00636708"/>
    <w:rsid w:val="006434A6"/>
    <w:rsid w:val="00646EFD"/>
    <w:rsid w:val="00647CC4"/>
    <w:rsid w:val="006509F7"/>
    <w:rsid w:val="00662F6F"/>
    <w:rsid w:val="006659E1"/>
    <w:rsid w:val="0067004F"/>
    <w:rsid w:val="00673098"/>
    <w:rsid w:val="00674AF2"/>
    <w:rsid w:val="0068417D"/>
    <w:rsid w:val="00685AE0"/>
    <w:rsid w:val="006A30EC"/>
    <w:rsid w:val="006A6778"/>
    <w:rsid w:val="006A6CF3"/>
    <w:rsid w:val="006B0936"/>
    <w:rsid w:val="006B11BC"/>
    <w:rsid w:val="006B17E5"/>
    <w:rsid w:val="006B3996"/>
    <w:rsid w:val="006C6D4F"/>
    <w:rsid w:val="006D21C0"/>
    <w:rsid w:val="006D726C"/>
    <w:rsid w:val="006D7D8B"/>
    <w:rsid w:val="006D7E82"/>
    <w:rsid w:val="006E3215"/>
    <w:rsid w:val="006E5152"/>
    <w:rsid w:val="006E6424"/>
    <w:rsid w:val="006E71D9"/>
    <w:rsid w:val="006E7694"/>
    <w:rsid w:val="006E7C02"/>
    <w:rsid w:val="006F047B"/>
    <w:rsid w:val="006F7A09"/>
    <w:rsid w:val="007022A9"/>
    <w:rsid w:val="00702409"/>
    <w:rsid w:val="00710A8C"/>
    <w:rsid w:val="007262B5"/>
    <w:rsid w:val="007275C3"/>
    <w:rsid w:val="007302A2"/>
    <w:rsid w:val="007310C4"/>
    <w:rsid w:val="0073653B"/>
    <w:rsid w:val="00736DF5"/>
    <w:rsid w:val="00741416"/>
    <w:rsid w:val="00743084"/>
    <w:rsid w:val="00750E8C"/>
    <w:rsid w:val="007538C7"/>
    <w:rsid w:val="00757E43"/>
    <w:rsid w:val="007615D4"/>
    <w:rsid w:val="007736CE"/>
    <w:rsid w:val="007765AE"/>
    <w:rsid w:val="0078188F"/>
    <w:rsid w:val="00781A81"/>
    <w:rsid w:val="00781F68"/>
    <w:rsid w:val="00782BC0"/>
    <w:rsid w:val="007833DA"/>
    <w:rsid w:val="00794454"/>
    <w:rsid w:val="007A2824"/>
    <w:rsid w:val="007A3DAB"/>
    <w:rsid w:val="007A5AA6"/>
    <w:rsid w:val="007B0478"/>
    <w:rsid w:val="007B76C7"/>
    <w:rsid w:val="007C144C"/>
    <w:rsid w:val="007C5402"/>
    <w:rsid w:val="007D06E9"/>
    <w:rsid w:val="007D1D86"/>
    <w:rsid w:val="007E3911"/>
    <w:rsid w:val="007E7D5F"/>
    <w:rsid w:val="007F4E97"/>
    <w:rsid w:val="00806392"/>
    <w:rsid w:val="00812073"/>
    <w:rsid w:val="00815529"/>
    <w:rsid w:val="008201E5"/>
    <w:rsid w:val="00823950"/>
    <w:rsid w:val="00823AD7"/>
    <w:rsid w:val="008261BE"/>
    <w:rsid w:val="00826713"/>
    <w:rsid w:val="008321A8"/>
    <w:rsid w:val="00834B9C"/>
    <w:rsid w:val="00846F87"/>
    <w:rsid w:val="00847CAD"/>
    <w:rsid w:val="00850D94"/>
    <w:rsid w:val="008511B4"/>
    <w:rsid w:val="0085734F"/>
    <w:rsid w:val="008613DA"/>
    <w:rsid w:val="00865018"/>
    <w:rsid w:val="0086754D"/>
    <w:rsid w:val="00870959"/>
    <w:rsid w:val="00872CBB"/>
    <w:rsid w:val="00873932"/>
    <w:rsid w:val="0087F4FC"/>
    <w:rsid w:val="00880FFC"/>
    <w:rsid w:val="00897A2D"/>
    <w:rsid w:val="008A01FF"/>
    <w:rsid w:val="008A5F2C"/>
    <w:rsid w:val="008A6C08"/>
    <w:rsid w:val="008B72FA"/>
    <w:rsid w:val="008C28BD"/>
    <w:rsid w:val="008C3436"/>
    <w:rsid w:val="008C3C74"/>
    <w:rsid w:val="008C4019"/>
    <w:rsid w:val="008C675C"/>
    <w:rsid w:val="008D4671"/>
    <w:rsid w:val="008D5C1E"/>
    <w:rsid w:val="008E3E4D"/>
    <w:rsid w:val="008E5358"/>
    <w:rsid w:val="008E62D5"/>
    <w:rsid w:val="008F6026"/>
    <w:rsid w:val="008F776F"/>
    <w:rsid w:val="00901DFA"/>
    <w:rsid w:val="00907785"/>
    <w:rsid w:val="0091129C"/>
    <w:rsid w:val="00913059"/>
    <w:rsid w:val="00913AD2"/>
    <w:rsid w:val="00920AF7"/>
    <w:rsid w:val="00920C15"/>
    <w:rsid w:val="00926143"/>
    <w:rsid w:val="00926CEB"/>
    <w:rsid w:val="00927DAC"/>
    <w:rsid w:val="00932878"/>
    <w:rsid w:val="009334C3"/>
    <w:rsid w:val="00936A08"/>
    <w:rsid w:val="00941161"/>
    <w:rsid w:val="0094378E"/>
    <w:rsid w:val="0094607E"/>
    <w:rsid w:val="0095311B"/>
    <w:rsid w:val="00956136"/>
    <w:rsid w:val="00962A01"/>
    <w:rsid w:val="00965EC4"/>
    <w:rsid w:val="00966C16"/>
    <w:rsid w:val="00971FB5"/>
    <w:rsid w:val="00984142"/>
    <w:rsid w:val="00984C98"/>
    <w:rsid w:val="00987406"/>
    <w:rsid w:val="00992DBA"/>
    <w:rsid w:val="009940E3"/>
    <w:rsid w:val="00994124"/>
    <w:rsid w:val="00995442"/>
    <w:rsid w:val="009972F1"/>
    <w:rsid w:val="009A1DCB"/>
    <w:rsid w:val="009A3B47"/>
    <w:rsid w:val="009B05AA"/>
    <w:rsid w:val="009C0D95"/>
    <w:rsid w:val="009C31DD"/>
    <w:rsid w:val="009C4232"/>
    <w:rsid w:val="009D4E83"/>
    <w:rsid w:val="009E0920"/>
    <w:rsid w:val="009E23EF"/>
    <w:rsid w:val="009E40BE"/>
    <w:rsid w:val="009E42B6"/>
    <w:rsid w:val="009E7E02"/>
    <w:rsid w:val="009F2440"/>
    <w:rsid w:val="009F5BCD"/>
    <w:rsid w:val="00A0557E"/>
    <w:rsid w:val="00A07F27"/>
    <w:rsid w:val="00A11EF9"/>
    <w:rsid w:val="00A12697"/>
    <w:rsid w:val="00A13759"/>
    <w:rsid w:val="00A146C6"/>
    <w:rsid w:val="00A219BE"/>
    <w:rsid w:val="00A228DC"/>
    <w:rsid w:val="00A26A42"/>
    <w:rsid w:val="00A335EB"/>
    <w:rsid w:val="00A40F83"/>
    <w:rsid w:val="00A43977"/>
    <w:rsid w:val="00A553CD"/>
    <w:rsid w:val="00A56E10"/>
    <w:rsid w:val="00A57BA4"/>
    <w:rsid w:val="00A61913"/>
    <w:rsid w:val="00A66F11"/>
    <w:rsid w:val="00A75B45"/>
    <w:rsid w:val="00A858D0"/>
    <w:rsid w:val="00A912C0"/>
    <w:rsid w:val="00AA37AD"/>
    <w:rsid w:val="00AA5B4A"/>
    <w:rsid w:val="00AA750A"/>
    <w:rsid w:val="00AB3432"/>
    <w:rsid w:val="00AB4E8B"/>
    <w:rsid w:val="00AB6DF1"/>
    <w:rsid w:val="00AC15BA"/>
    <w:rsid w:val="00AC4864"/>
    <w:rsid w:val="00AD055D"/>
    <w:rsid w:val="00AD5B82"/>
    <w:rsid w:val="00AE052A"/>
    <w:rsid w:val="00AE4A03"/>
    <w:rsid w:val="00AE511C"/>
    <w:rsid w:val="00AF1FC8"/>
    <w:rsid w:val="00B002DE"/>
    <w:rsid w:val="00B00A4F"/>
    <w:rsid w:val="00B03748"/>
    <w:rsid w:val="00B03F19"/>
    <w:rsid w:val="00B163AE"/>
    <w:rsid w:val="00B23604"/>
    <w:rsid w:val="00B264D1"/>
    <w:rsid w:val="00B26790"/>
    <w:rsid w:val="00B27F19"/>
    <w:rsid w:val="00B313C3"/>
    <w:rsid w:val="00B34E10"/>
    <w:rsid w:val="00B45A9F"/>
    <w:rsid w:val="00B46389"/>
    <w:rsid w:val="00B47AD4"/>
    <w:rsid w:val="00B50BF9"/>
    <w:rsid w:val="00B551CA"/>
    <w:rsid w:val="00B6788E"/>
    <w:rsid w:val="00B70062"/>
    <w:rsid w:val="00B700B3"/>
    <w:rsid w:val="00B718C9"/>
    <w:rsid w:val="00B768AC"/>
    <w:rsid w:val="00B76C6A"/>
    <w:rsid w:val="00B850E1"/>
    <w:rsid w:val="00B8663B"/>
    <w:rsid w:val="00B95B6C"/>
    <w:rsid w:val="00B96068"/>
    <w:rsid w:val="00B97BFD"/>
    <w:rsid w:val="00BA66A0"/>
    <w:rsid w:val="00BB398C"/>
    <w:rsid w:val="00BB3A7A"/>
    <w:rsid w:val="00BB7425"/>
    <w:rsid w:val="00BC17CA"/>
    <w:rsid w:val="00BC1C6B"/>
    <w:rsid w:val="00BC3CCC"/>
    <w:rsid w:val="00BC5EB1"/>
    <w:rsid w:val="00BC628A"/>
    <w:rsid w:val="00BC685F"/>
    <w:rsid w:val="00BD15E4"/>
    <w:rsid w:val="00BD5AAC"/>
    <w:rsid w:val="00BE2B65"/>
    <w:rsid w:val="00BE2FBA"/>
    <w:rsid w:val="00BF00F7"/>
    <w:rsid w:val="00BF3F62"/>
    <w:rsid w:val="00C03C20"/>
    <w:rsid w:val="00C04E13"/>
    <w:rsid w:val="00C059BA"/>
    <w:rsid w:val="00C07834"/>
    <w:rsid w:val="00C17EC0"/>
    <w:rsid w:val="00C22F2D"/>
    <w:rsid w:val="00C23F3D"/>
    <w:rsid w:val="00C36D57"/>
    <w:rsid w:val="00C41090"/>
    <w:rsid w:val="00C42E6E"/>
    <w:rsid w:val="00C5265E"/>
    <w:rsid w:val="00C55BEF"/>
    <w:rsid w:val="00C614CE"/>
    <w:rsid w:val="00C63155"/>
    <w:rsid w:val="00C65F32"/>
    <w:rsid w:val="00C707F1"/>
    <w:rsid w:val="00C74704"/>
    <w:rsid w:val="00C75EC5"/>
    <w:rsid w:val="00C80FF8"/>
    <w:rsid w:val="00C8273C"/>
    <w:rsid w:val="00C83AF8"/>
    <w:rsid w:val="00CA394C"/>
    <w:rsid w:val="00CA5A63"/>
    <w:rsid w:val="00CB5CD2"/>
    <w:rsid w:val="00CC2C78"/>
    <w:rsid w:val="00CC4236"/>
    <w:rsid w:val="00CC5CFF"/>
    <w:rsid w:val="00CC602B"/>
    <w:rsid w:val="00CD68E0"/>
    <w:rsid w:val="00CD6E9A"/>
    <w:rsid w:val="00CE4FAB"/>
    <w:rsid w:val="00CE6FCE"/>
    <w:rsid w:val="00CF29D4"/>
    <w:rsid w:val="00CF3153"/>
    <w:rsid w:val="00CF41E9"/>
    <w:rsid w:val="00CF69DD"/>
    <w:rsid w:val="00D0219A"/>
    <w:rsid w:val="00D064D6"/>
    <w:rsid w:val="00D10BA5"/>
    <w:rsid w:val="00D11B5E"/>
    <w:rsid w:val="00D1440F"/>
    <w:rsid w:val="00D15C3C"/>
    <w:rsid w:val="00D16B12"/>
    <w:rsid w:val="00D1736B"/>
    <w:rsid w:val="00D23A59"/>
    <w:rsid w:val="00D3099E"/>
    <w:rsid w:val="00D3148C"/>
    <w:rsid w:val="00D31E28"/>
    <w:rsid w:val="00D332B7"/>
    <w:rsid w:val="00D33BF8"/>
    <w:rsid w:val="00D44393"/>
    <w:rsid w:val="00D447DF"/>
    <w:rsid w:val="00D47224"/>
    <w:rsid w:val="00D555EB"/>
    <w:rsid w:val="00D672D9"/>
    <w:rsid w:val="00D73F8D"/>
    <w:rsid w:val="00D80AB3"/>
    <w:rsid w:val="00D839FC"/>
    <w:rsid w:val="00D844CB"/>
    <w:rsid w:val="00D860CB"/>
    <w:rsid w:val="00D86CF2"/>
    <w:rsid w:val="00D96AAE"/>
    <w:rsid w:val="00D97912"/>
    <w:rsid w:val="00DA46D6"/>
    <w:rsid w:val="00DA4A5E"/>
    <w:rsid w:val="00DB0BFC"/>
    <w:rsid w:val="00DB1848"/>
    <w:rsid w:val="00DC3E9E"/>
    <w:rsid w:val="00DC72AA"/>
    <w:rsid w:val="00DD07A8"/>
    <w:rsid w:val="00DD15FD"/>
    <w:rsid w:val="00DD2C56"/>
    <w:rsid w:val="00DD530E"/>
    <w:rsid w:val="00DE3DC2"/>
    <w:rsid w:val="00DE5C90"/>
    <w:rsid w:val="00DE768D"/>
    <w:rsid w:val="00DF5F31"/>
    <w:rsid w:val="00DF5F58"/>
    <w:rsid w:val="00E01492"/>
    <w:rsid w:val="00E06A28"/>
    <w:rsid w:val="00E10104"/>
    <w:rsid w:val="00E1335F"/>
    <w:rsid w:val="00E133DF"/>
    <w:rsid w:val="00E135F5"/>
    <w:rsid w:val="00E31225"/>
    <w:rsid w:val="00E32355"/>
    <w:rsid w:val="00E33829"/>
    <w:rsid w:val="00E33998"/>
    <w:rsid w:val="00E342C6"/>
    <w:rsid w:val="00E45F32"/>
    <w:rsid w:val="00E506C3"/>
    <w:rsid w:val="00E524FD"/>
    <w:rsid w:val="00E52A8B"/>
    <w:rsid w:val="00E560E6"/>
    <w:rsid w:val="00E6293C"/>
    <w:rsid w:val="00E648AB"/>
    <w:rsid w:val="00E7103A"/>
    <w:rsid w:val="00E732BA"/>
    <w:rsid w:val="00E76A8F"/>
    <w:rsid w:val="00E80AB7"/>
    <w:rsid w:val="00E80AC4"/>
    <w:rsid w:val="00EA3CF9"/>
    <w:rsid w:val="00EB0A35"/>
    <w:rsid w:val="00EB612D"/>
    <w:rsid w:val="00EB6977"/>
    <w:rsid w:val="00EC1829"/>
    <w:rsid w:val="00EC408E"/>
    <w:rsid w:val="00EC5245"/>
    <w:rsid w:val="00EC794F"/>
    <w:rsid w:val="00EC7AD1"/>
    <w:rsid w:val="00EC7BDC"/>
    <w:rsid w:val="00EC7D25"/>
    <w:rsid w:val="00EE42DE"/>
    <w:rsid w:val="00EE465D"/>
    <w:rsid w:val="00EE4E48"/>
    <w:rsid w:val="00EF523C"/>
    <w:rsid w:val="00EF6A56"/>
    <w:rsid w:val="00F025E8"/>
    <w:rsid w:val="00F032AC"/>
    <w:rsid w:val="00F22648"/>
    <w:rsid w:val="00F22E8C"/>
    <w:rsid w:val="00F253CE"/>
    <w:rsid w:val="00F31DFD"/>
    <w:rsid w:val="00F32DE2"/>
    <w:rsid w:val="00F35A0C"/>
    <w:rsid w:val="00F373C6"/>
    <w:rsid w:val="00F4407B"/>
    <w:rsid w:val="00F455AE"/>
    <w:rsid w:val="00F61722"/>
    <w:rsid w:val="00F62317"/>
    <w:rsid w:val="00F62AC4"/>
    <w:rsid w:val="00F633FF"/>
    <w:rsid w:val="00F6381A"/>
    <w:rsid w:val="00F66AAB"/>
    <w:rsid w:val="00F71F35"/>
    <w:rsid w:val="00F770E1"/>
    <w:rsid w:val="00F921E9"/>
    <w:rsid w:val="00F92649"/>
    <w:rsid w:val="00F93579"/>
    <w:rsid w:val="00F93D12"/>
    <w:rsid w:val="00F97838"/>
    <w:rsid w:val="00FA2D0E"/>
    <w:rsid w:val="00FA2D28"/>
    <w:rsid w:val="00FB1984"/>
    <w:rsid w:val="00FB718C"/>
    <w:rsid w:val="00FC2346"/>
    <w:rsid w:val="00FC4DE6"/>
    <w:rsid w:val="00FD11A1"/>
    <w:rsid w:val="00FD28D8"/>
    <w:rsid w:val="00FE2653"/>
    <w:rsid w:val="00FE37B6"/>
    <w:rsid w:val="00FE52B8"/>
    <w:rsid w:val="00FF02DA"/>
    <w:rsid w:val="00FF25D4"/>
    <w:rsid w:val="00FF35EA"/>
    <w:rsid w:val="00FF3839"/>
    <w:rsid w:val="00FF4362"/>
    <w:rsid w:val="00FF5521"/>
    <w:rsid w:val="01342266"/>
    <w:rsid w:val="01B70FF9"/>
    <w:rsid w:val="0352E05A"/>
    <w:rsid w:val="049686B7"/>
    <w:rsid w:val="04EEB0BB"/>
    <w:rsid w:val="0647056A"/>
    <w:rsid w:val="08F611E6"/>
    <w:rsid w:val="0B678240"/>
    <w:rsid w:val="0D46F508"/>
    <w:rsid w:val="0D519390"/>
    <w:rsid w:val="0DCEEB58"/>
    <w:rsid w:val="110DA073"/>
    <w:rsid w:val="1112097E"/>
    <w:rsid w:val="13ED1198"/>
    <w:rsid w:val="1400592A"/>
    <w:rsid w:val="16DB1AD5"/>
    <w:rsid w:val="17E0EA9B"/>
    <w:rsid w:val="182B3A70"/>
    <w:rsid w:val="19BA04B3"/>
    <w:rsid w:val="1B6ED2B0"/>
    <w:rsid w:val="2966EBC2"/>
    <w:rsid w:val="2B4D117C"/>
    <w:rsid w:val="2B80EC82"/>
    <w:rsid w:val="2D064204"/>
    <w:rsid w:val="2E84B23E"/>
    <w:rsid w:val="30545DA5"/>
    <w:rsid w:val="31F02E06"/>
    <w:rsid w:val="32C47D91"/>
    <w:rsid w:val="47B45D89"/>
    <w:rsid w:val="4951D065"/>
    <w:rsid w:val="49CC4DD8"/>
    <w:rsid w:val="49DF956A"/>
    <w:rsid w:val="4AEDA0C6"/>
    <w:rsid w:val="4AF7F5C9"/>
    <w:rsid w:val="4C897127"/>
    <w:rsid w:val="4E239F0D"/>
    <w:rsid w:val="52952E7A"/>
    <w:rsid w:val="57B158F6"/>
    <w:rsid w:val="5DDD1EC8"/>
    <w:rsid w:val="5F07574F"/>
    <w:rsid w:val="64199925"/>
    <w:rsid w:val="66C30165"/>
    <w:rsid w:val="6E8E6B47"/>
    <w:rsid w:val="75E1F326"/>
    <w:rsid w:val="7631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2537EF6C"/>
  <w14:defaultImageDpi w14:val="330"/>
  <w15:docId w15:val="{23DEC1E0-7B04-4DD3-89BA-079C2E6C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653"/>
    <w:pPr>
      <w:tabs>
        <w:tab w:val="left" w:pos="3402"/>
        <w:tab w:val="left" w:pos="6804"/>
        <w:tab w:val="left" w:pos="10206"/>
      </w:tabs>
      <w:spacing w:after="160" w:line="288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5F32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aps/>
      <w:color w:val="77BD43" w:themeColor="background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4019"/>
    <w:pPr>
      <w:keepNext/>
      <w:keepLines/>
      <w:spacing w:before="40" w:after="120"/>
      <w:outlineLvl w:val="1"/>
    </w:pPr>
    <w:rPr>
      <w:rFonts w:eastAsiaTheme="majorEastAsia" w:cstheme="majorBidi"/>
      <w:b/>
      <w:bCs/>
      <w:color w:val="43B4E3" w:themeColor="text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8C4019"/>
    <w:pPr>
      <w:spacing w:before="120"/>
      <w:outlineLvl w:val="2"/>
    </w:pPr>
    <w:rPr>
      <w:color w:val="343E48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7CF"/>
    <w:pPr>
      <w:keepNext/>
      <w:keepLines/>
      <w:tabs>
        <w:tab w:val="clear" w:pos="3402"/>
        <w:tab w:val="clear" w:pos="6804"/>
        <w:tab w:val="clear" w:pos="10206"/>
      </w:tabs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F7941D" w:themeColor="accent1"/>
      <w:sz w:val="22"/>
      <w:szCs w:val="22"/>
      <w:lang w:val="en-NZ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67CF"/>
    <w:pPr>
      <w:keepNext/>
      <w:keepLines/>
      <w:tabs>
        <w:tab w:val="clear" w:pos="3402"/>
        <w:tab w:val="clear" w:pos="6804"/>
        <w:tab w:val="clear" w:pos="10206"/>
      </w:tabs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C77007" w:themeColor="accent1" w:themeShade="BF"/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603793"/>
    <w:pPr>
      <w:spacing w:before="120" w:after="120"/>
    </w:pPr>
    <w:rPr>
      <w:i/>
      <w:iCs/>
      <w:color w:val="77BD43" w:themeColor="background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03793"/>
    <w:rPr>
      <w:rFonts w:ascii="Arial" w:hAnsi="Arial"/>
      <w:i/>
      <w:iCs/>
      <w:color w:val="77BD43" w:themeColor="background2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A2D28"/>
    <w:pPr>
      <w:spacing w:after="0" w:line="240" w:lineRule="auto"/>
      <w:jc w:val="center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FA2D28"/>
    <w:rPr>
      <w:rFonts w:ascii="Arial" w:hAnsi="Arial"/>
      <w:sz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1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4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5F32"/>
    <w:rPr>
      <w:rFonts w:ascii="Arial" w:eastAsiaTheme="majorEastAsia" w:hAnsi="Arial" w:cstheme="majorBidi"/>
      <w:b/>
      <w:bCs/>
      <w:caps/>
      <w:color w:val="77BD43" w:themeColor="background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C4019"/>
    <w:rPr>
      <w:rFonts w:ascii="Arial" w:eastAsiaTheme="majorEastAsia" w:hAnsi="Arial" w:cstheme="majorBidi"/>
      <w:b/>
      <w:bCs/>
      <w:color w:val="43B4E3" w:themeColor="text2"/>
      <w:sz w:val="21"/>
      <w:szCs w:val="26"/>
    </w:rPr>
  </w:style>
  <w:style w:type="character" w:styleId="Hyperlink">
    <w:name w:val="Hyperlink"/>
    <w:basedOn w:val="DefaultParagraphFont"/>
    <w:uiPriority w:val="99"/>
    <w:unhideWhenUsed/>
    <w:rsid w:val="008C4019"/>
    <w:rPr>
      <w:color w:val="43B4E3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75EC5"/>
    <w:rPr>
      <w:rFonts w:ascii="Arial" w:hAnsi="Arial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C4019"/>
    <w:rPr>
      <w:rFonts w:ascii="Arial" w:eastAsiaTheme="majorEastAsia" w:hAnsi="Arial" w:cstheme="majorBidi"/>
      <w:b/>
      <w:bCs/>
      <w:color w:val="343E48" w:themeColor="text1"/>
      <w:sz w:val="21"/>
      <w:szCs w:val="26"/>
    </w:rPr>
  </w:style>
  <w:style w:type="paragraph" w:customStyle="1" w:styleId="NormalBullet">
    <w:name w:val="Normal Bullet"/>
    <w:basedOn w:val="Normal"/>
    <w:qFormat/>
    <w:rsid w:val="0008336A"/>
    <w:pPr>
      <w:numPr>
        <w:numId w:val="2"/>
      </w:numPr>
      <w:spacing w:after="0"/>
    </w:pPr>
  </w:style>
  <w:style w:type="paragraph" w:customStyle="1" w:styleId="NormalNumberedList">
    <w:name w:val="Normal Numbered List"/>
    <w:basedOn w:val="NormalBullet"/>
    <w:qFormat/>
    <w:rsid w:val="00C83AF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8511B4"/>
    <w:pPr>
      <w:tabs>
        <w:tab w:val="clear" w:pos="3402"/>
        <w:tab w:val="clear" w:pos="6804"/>
        <w:tab w:val="clear" w:pos="10206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B4"/>
    <w:rPr>
      <w:rFonts w:ascii="Arial" w:hAnsi="Arial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rsid w:val="002C67CF"/>
    <w:rPr>
      <w:rFonts w:asciiTheme="majorHAnsi" w:eastAsiaTheme="majorEastAsia" w:hAnsiTheme="majorHAnsi" w:cstheme="majorBidi"/>
      <w:i/>
      <w:iCs/>
      <w:color w:val="F7941D" w:themeColor="accent1"/>
      <w:sz w:val="22"/>
      <w:szCs w:val="22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rsid w:val="002C67CF"/>
    <w:rPr>
      <w:rFonts w:asciiTheme="majorHAnsi" w:eastAsiaTheme="majorEastAsia" w:hAnsiTheme="majorHAnsi" w:cstheme="majorBidi"/>
      <w:color w:val="C77007" w:themeColor="accent1" w:themeShade="BF"/>
      <w:sz w:val="22"/>
      <w:szCs w:val="22"/>
      <w:lang w:val="en-NZ"/>
    </w:rPr>
  </w:style>
  <w:style w:type="paragraph" w:styleId="ListParagraph">
    <w:name w:val="List Paragraph"/>
    <w:basedOn w:val="Normal"/>
    <w:link w:val="ListParagraphChar"/>
    <w:uiPriority w:val="34"/>
    <w:qFormat/>
    <w:rsid w:val="002C67CF"/>
    <w:pPr>
      <w:tabs>
        <w:tab w:val="clear" w:pos="3402"/>
        <w:tab w:val="clear" w:pos="6804"/>
        <w:tab w:val="clear" w:pos="10206"/>
      </w:tabs>
      <w:spacing w:line="276" w:lineRule="auto"/>
      <w:ind w:left="720"/>
      <w:contextualSpacing/>
    </w:pPr>
    <w:rPr>
      <w:rFonts w:asciiTheme="minorHAnsi" w:hAnsiTheme="minorHAnsi"/>
      <w:szCs w:val="21"/>
    </w:rPr>
  </w:style>
  <w:style w:type="paragraph" w:styleId="BodyText">
    <w:name w:val="Body Text"/>
    <w:basedOn w:val="Normal"/>
    <w:link w:val="BodyTextChar"/>
    <w:uiPriority w:val="1"/>
    <w:qFormat/>
    <w:rsid w:val="002C67CF"/>
    <w:pPr>
      <w:widowControl w:val="0"/>
      <w:tabs>
        <w:tab w:val="clear" w:pos="3402"/>
        <w:tab w:val="clear" w:pos="6804"/>
        <w:tab w:val="clear" w:pos="10206"/>
      </w:tabs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C67CF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2C67CF"/>
    <w:pPr>
      <w:spacing w:after="160" w:line="276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67CF"/>
    <w:pPr>
      <w:tabs>
        <w:tab w:val="clear" w:pos="3402"/>
        <w:tab w:val="clear" w:pos="6804"/>
        <w:tab w:val="clear" w:pos="1020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en-NZ" w:eastAsia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67CF"/>
    <w:rPr>
      <w:sz w:val="21"/>
      <w:szCs w:val="21"/>
    </w:rPr>
  </w:style>
  <w:style w:type="table" w:styleId="GridTable1Light-Accent4">
    <w:name w:val="Grid Table 1 Light Accent 4"/>
    <w:basedOn w:val="TableNormal"/>
    <w:uiPriority w:val="46"/>
    <w:rsid w:val="002C67CF"/>
    <w:tblPr>
      <w:tblStyleRowBandSize w:val="1"/>
      <w:tblStyleColBandSize w:val="1"/>
      <w:tblBorders>
        <w:top w:val="single" w:sz="4" w:space="0" w:color="93D0EF" w:themeColor="accent4" w:themeTint="66"/>
        <w:left w:val="single" w:sz="4" w:space="0" w:color="93D0EF" w:themeColor="accent4" w:themeTint="66"/>
        <w:bottom w:val="single" w:sz="4" w:space="0" w:color="93D0EF" w:themeColor="accent4" w:themeTint="66"/>
        <w:right w:val="single" w:sz="4" w:space="0" w:color="93D0EF" w:themeColor="accent4" w:themeTint="66"/>
        <w:insideH w:val="single" w:sz="4" w:space="0" w:color="93D0EF" w:themeColor="accent4" w:themeTint="66"/>
        <w:insideV w:val="single" w:sz="4" w:space="0" w:color="93D0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DB9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B9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2C67CF"/>
    <w:rPr>
      <w:color w:val="135E83" w:themeColor="accent4" w:themeShade="BF"/>
    </w:rPr>
    <w:tblPr>
      <w:tblStyleRowBandSize w:val="1"/>
      <w:tblStyleColBandSize w:val="1"/>
      <w:tblBorders>
        <w:top w:val="single" w:sz="4" w:space="0" w:color="5DB9E7" w:themeColor="accent4" w:themeTint="99"/>
        <w:left w:val="single" w:sz="4" w:space="0" w:color="5DB9E7" w:themeColor="accent4" w:themeTint="99"/>
        <w:bottom w:val="single" w:sz="4" w:space="0" w:color="5DB9E7" w:themeColor="accent4" w:themeTint="99"/>
        <w:right w:val="single" w:sz="4" w:space="0" w:color="5DB9E7" w:themeColor="accent4" w:themeTint="99"/>
        <w:insideH w:val="single" w:sz="4" w:space="0" w:color="5DB9E7" w:themeColor="accent4" w:themeTint="99"/>
        <w:insideV w:val="single" w:sz="4" w:space="0" w:color="5DB9E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DB9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B9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7F7" w:themeFill="accent4" w:themeFillTint="33"/>
      </w:tcPr>
    </w:tblStylePr>
    <w:tblStylePr w:type="band1Horz">
      <w:tblPr/>
      <w:tcPr>
        <w:shd w:val="clear" w:color="auto" w:fill="C9E7F7" w:themeFill="accent4" w:themeFillTint="33"/>
      </w:tcPr>
    </w:tblStylePr>
  </w:style>
  <w:style w:type="table" w:styleId="GridTable2-Accent4">
    <w:name w:val="Grid Table 2 Accent 4"/>
    <w:basedOn w:val="TableNormal"/>
    <w:uiPriority w:val="47"/>
    <w:rsid w:val="002C67CF"/>
    <w:tblPr>
      <w:tblStyleRowBandSize w:val="1"/>
      <w:tblStyleColBandSize w:val="1"/>
      <w:tblBorders>
        <w:top w:val="single" w:sz="2" w:space="0" w:color="5DB9E7" w:themeColor="accent4" w:themeTint="99"/>
        <w:bottom w:val="single" w:sz="2" w:space="0" w:color="5DB9E7" w:themeColor="accent4" w:themeTint="99"/>
        <w:insideH w:val="single" w:sz="2" w:space="0" w:color="5DB9E7" w:themeColor="accent4" w:themeTint="99"/>
        <w:insideV w:val="single" w:sz="2" w:space="0" w:color="5DB9E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B9E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B9E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7F7" w:themeFill="accent4" w:themeFillTint="33"/>
      </w:tcPr>
    </w:tblStylePr>
    <w:tblStylePr w:type="band1Horz">
      <w:tblPr/>
      <w:tcPr>
        <w:shd w:val="clear" w:color="auto" w:fill="C9E7F7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6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EF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EFD"/>
    <w:rPr>
      <w:rFonts w:ascii="Arial" w:hAnsi="Arial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8417D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8417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66AAB"/>
    <w:pPr>
      <w:tabs>
        <w:tab w:val="clear" w:pos="3402"/>
        <w:tab w:val="clear" w:pos="6804"/>
        <w:tab w:val="clear" w:pos="10206"/>
      </w:tabs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C77007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66AAB"/>
    <w:pPr>
      <w:tabs>
        <w:tab w:val="clear" w:pos="3402"/>
        <w:tab w:val="clear" w:pos="6804"/>
        <w:tab w:val="clear" w:pos="1020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6AAB"/>
    <w:pPr>
      <w:tabs>
        <w:tab w:val="clear" w:pos="3402"/>
        <w:tab w:val="clear" w:pos="6804"/>
        <w:tab w:val="clear" w:pos="10206"/>
      </w:tabs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F66AAB"/>
    <w:pPr>
      <w:tabs>
        <w:tab w:val="clear" w:pos="3402"/>
        <w:tab w:val="clear" w:pos="6804"/>
        <w:tab w:val="clear" w:pos="10206"/>
      </w:tabs>
      <w:spacing w:after="100"/>
      <w:ind w:left="420"/>
    </w:pPr>
  </w:style>
  <w:style w:type="character" w:styleId="FollowedHyperlink">
    <w:name w:val="FollowedHyperlink"/>
    <w:basedOn w:val="DefaultParagraphFont"/>
    <w:uiPriority w:val="99"/>
    <w:semiHidden/>
    <w:unhideWhenUsed/>
    <w:rsid w:val="002E57A4"/>
    <w:rPr>
      <w:color w:val="77BD43" w:themeColor="followedHyperlink"/>
      <w:u w:val="single"/>
    </w:rPr>
  </w:style>
  <w:style w:type="character" w:customStyle="1" w:styleId="checkbox">
    <w:name w:val="checkbox"/>
    <w:basedOn w:val="DefaultParagraphFont"/>
    <w:rsid w:val="003F3188"/>
  </w:style>
  <w:style w:type="character" w:customStyle="1" w:styleId="aspnetdisabled">
    <w:name w:val="aspnetdisabled"/>
    <w:basedOn w:val="DefaultParagraphFont"/>
    <w:rsid w:val="003F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45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5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7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08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21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64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8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5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31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1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6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9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6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1072f6af20b44c4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143edc3837c245aa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uren.sye\AppData\Local\Microsoft\Windows\INetCache\Content.Outlook\EUJAC7XB\CAPEX%20by%20Activity%20group%20grap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uren.sye\AppData\Local\Microsoft\Windows\INetCache\Content.Outlook\EUJAC7XB\Capex%2010%20yr%20grap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NZ"/>
              <a:t>Capital Spend 2022/23 by Activity Group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'Borrowing Prog'!$B$2</c:f>
              <c:strCache>
                <c:ptCount val="1"/>
                <c:pt idx="0">
                  <c:v>AP 2022/23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'Borrowing Prog'!$A$3:$A$12</c:f>
              <c:strCache>
                <c:ptCount val="10"/>
                <c:pt idx="1">
                  <c:v>City Strategy</c:v>
                </c:pt>
                <c:pt idx="2">
                  <c:v>Community and Visitor Experiences</c:v>
                </c:pt>
                <c:pt idx="3">
                  <c:v>Other Infrastructure</c:v>
                </c:pt>
                <c:pt idx="4">
                  <c:v>Property Assets</c:v>
                </c:pt>
                <c:pt idx="5">
                  <c:v>Stormwater</c:v>
                </c:pt>
                <c:pt idx="6">
                  <c:v>Transportation</c:v>
                </c:pt>
                <c:pt idx="7">
                  <c:v>Wastewater</c:v>
                </c:pt>
                <c:pt idx="8">
                  <c:v>Water Supply</c:v>
                </c:pt>
                <c:pt idx="9">
                  <c:v>Support Units</c:v>
                </c:pt>
              </c:strCache>
            </c:strRef>
          </c:cat>
          <c:val>
            <c:numRef>
              <c:f>'Borrowing Prog'!$B$3:$B$12</c:f>
              <c:numCache>
                <c:formatCode>_-* #,##0_-;\-* #,##0_-;_-* "-"??_-;_-@_-</c:formatCode>
                <c:ptCount val="10"/>
                <c:pt idx="1">
                  <c:v>167</c:v>
                </c:pt>
                <c:pt idx="2">
                  <c:v>26242</c:v>
                </c:pt>
                <c:pt idx="3">
                  <c:v>2777</c:v>
                </c:pt>
                <c:pt idx="4">
                  <c:v>5747</c:v>
                </c:pt>
                <c:pt idx="5">
                  <c:v>11908</c:v>
                </c:pt>
                <c:pt idx="6">
                  <c:v>11709</c:v>
                </c:pt>
                <c:pt idx="7">
                  <c:v>13393</c:v>
                </c:pt>
                <c:pt idx="8">
                  <c:v>13966</c:v>
                </c:pt>
                <c:pt idx="9">
                  <c:v>4552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06-49D3-AFD6-718817B37091}"/>
            </c:ext>
          </c:extLst>
        </c:ser>
        <c:ser>
          <c:idx val="1"/>
          <c:order val="1"/>
          <c:tx>
            <c:strRef>
              <c:f>'Borrowing Prog'!$C$2</c:f>
              <c:strCache>
                <c:ptCount val="1"/>
                <c:pt idx="0">
                  <c:v>LTP 2022/23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'Borrowing Prog'!$A$3:$A$12</c:f>
              <c:strCache>
                <c:ptCount val="10"/>
                <c:pt idx="1">
                  <c:v>City Strategy</c:v>
                </c:pt>
                <c:pt idx="2">
                  <c:v>Community and Visitor Experiences</c:v>
                </c:pt>
                <c:pt idx="3">
                  <c:v>Other Infrastructure</c:v>
                </c:pt>
                <c:pt idx="4">
                  <c:v>Property Assets</c:v>
                </c:pt>
                <c:pt idx="5">
                  <c:v>Stormwater</c:v>
                </c:pt>
                <c:pt idx="6">
                  <c:v>Transportation</c:v>
                </c:pt>
                <c:pt idx="7">
                  <c:v>Wastewater</c:v>
                </c:pt>
                <c:pt idx="8">
                  <c:v>Water Supply</c:v>
                </c:pt>
                <c:pt idx="9">
                  <c:v>Support Units</c:v>
                </c:pt>
              </c:strCache>
            </c:strRef>
          </c:cat>
          <c:val>
            <c:numRef>
              <c:f>'Borrowing Prog'!$C$3:$C$12</c:f>
              <c:numCache>
                <c:formatCode>_-* #,##0_-;\-* #,##0_-;_-* "-"??_-;_-@_-</c:formatCode>
                <c:ptCount val="10"/>
                <c:pt idx="1">
                  <c:v>1094</c:v>
                </c:pt>
                <c:pt idx="2">
                  <c:v>17574</c:v>
                </c:pt>
                <c:pt idx="3">
                  <c:v>2778</c:v>
                </c:pt>
                <c:pt idx="4">
                  <c:v>3379</c:v>
                </c:pt>
                <c:pt idx="5">
                  <c:v>9212</c:v>
                </c:pt>
                <c:pt idx="6">
                  <c:v>11709</c:v>
                </c:pt>
                <c:pt idx="7">
                  <c:v>10849</c:v>
                </c:pt>
                <c:pt idx="8">
                  <c:v>9941</c:v>
                </c:pt>
                <c:pt idx="9">
                  <c:v>6720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06-49D3-AFD6-718817B370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6916080"/>
        <c:axId val="102691148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'Borrowing Prog'!$D$2</c15:sqref>
                        </c15:formulaRef>
                      </c:ext>
                    </c:extLst>
                    <c:strCache>
                      <c:ptCount val="1"/>
                      <c:pt idx="0">
                        <c:v>Variance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'Borrowing Prog'!$A$3:$A$12</c15:sqref>
                        </c15:formulaRef>
                      </c:ext>
                    </c:extLst>
                    <c:strCache>
                      <c:ptCount val="10"/>
                      <c:pt idx="1">
                        <c:v>City Strategy</c:v>
                      </c:pt>
                      <c:pt idx="2">
                        <c:v>Community and Visitor Experiences</c:v>
                      </c:pt>
                      <c:pt idx="3">
                        <c:v>Other Infrastructure</c:v>
                      </c:pt>
                      <c:pt idx="4">
                        <c:v>Property Assets</c:v>
                      </c:pt>
                      <c:pt idx="5">
                        <c:v>Stormwater</c:v>
                      </c:pt>
                      <c:pt idx="6">
                        <c:v>Transportation</c:v>
                      </c:pt>
                      <c:pt idx="7">
                        <c:v>Wastewater</c:v>
                      </c:pt>
                      <c:pt idx="8">
                        <c:v>Water Supply</c:v>
                      </c:pt>
                      <c:pt idx="9">
                        <c:v>Support Units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'Borrowing Prog'!$D$3:$D$12</c15:sqref>
                        </c15:formulaRef>
                      </c:ext>
                    </c:extLst>
                    <c:numCache>
                      <c:formatCode>#,##0;\(#,##0\)</c:formatCode>
                      <c:ptCount val="10"/>
                      <c:pt idx="1">
                        <c:v>-927</c:v>
                      </c:pt>
                      <c:pt idx="2">
                        <c:v>8668</c:v>
                      </c:pt>
                      <c:pt idx="3">
                        <c:v>-1</c:v>
                      </c:pt>
                      <c:pt idx="4">
                        <c:v>2368</c:v>
                      </c:pt>
                      <c:pt idx="5">
                        <c:v>2696</c:v>
                      </c:pt>
                      <c:pt idx="6">
                        <c:v>0</c:v>
                      </c:pt>
                      <c:pt idx="7">
                        <c:v>2544</c:v>
                      </c:pt>
                      <c:pt idx="8">
                        <c:v>4025</c:v>
                      </c:pt>
                      <c:pt idx="9">
                        <c:v>-2168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4506-49D3-AFD6-718817B37091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'Borrowing Prog'!$E$2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'Borrowing Prog'!$A$3:$A$12</c15:sqref>
                        </c15:formulaRef>
                      </c:ext>
                    </c:extLst>
                    <c:strCache>
                      <c:ptCount val="10"/>
                      <c:pt idx="1">
                        <c:v>City Strategy</c:v>
                      </c:pt>
                      <c:pt idx="2">
                        <c:v>Community and Visitor Experiences</c:v>
                      </c:pt>
                      <c:pt idx="3">
                        <c:v>Other Infrastructure</c:v>
                      </c:pt>
                      <c:pt idx="4">
                        <c:v>Property Assets</c:v>
                      </c:pt>
                      <c:pt idx="5">
                        <c:v>Stormwater</c:v>
                      </c:pt>
                      <c:pt idx="6">
                        <c:v>Transportation</c:v>
                      </c:pt>
                      <c:pt idx="7">
                        <c:v>Wastewater</c:v>
                      </c:pt>
                      <c:pt idx="8">
                        <c:v>Water Supply</c:v>
                      </c:pt>
                      <c:pt idx="9">
                        <c:v>Support Units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'Borrowing Prog'!$E$3:$E$12</c15:sqref>
                        </c15:formulaRef>
                      </c:ext>
                    </c:extLst>
                    <c:numCache>
                      <c:formatCode>General</c:formatCode>
                      <c:ptCount val="10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4506-49D3-AFD6-718817B37091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'Borrowing Prog'!$F$2</c15:sqref>
                        </c15:formulaRef>
                      </c:ext>
                    </c:extLst>
                    <c:strCache>
                      <c:ptCount val="1"/>
                      <c:pt idx="0">
                        <c:v>AP 2022/23</c:v>
                      </c:pt>
                    </c:strCache>
                  </c:strRef>
                </c:tx>
                <c:spPr>
                  <a:solidFill>
                    <a:schemeClr val="tx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'Borrowing Prog'!$A$3:$A$12</c15:sqref>
                        </c15:formulaRef>
                      </c:ext>
                    </c:extLst>
                    <c:strCache>
                      <c:ptCount val="10"/>
                      <c:pt idx="1">
                        <c:v>City Strategy</c:v>
                      </c:pt>
                      <c:pt idx="2">
                        <c:v>Community and Visitor Experiences</c:v>
                      </c:pt>
                      <c:pt idx="3">
                        <c:v>Other Infrastructure</c:v>
                      </c:pt>
                      <c:pt idx="4">
                        <c:v>Property Assets</c:v>
                      </c:pt>
                      <c:pt idx="5">
                        <c:v>Stormwater</c:v>
                      </c:pt>
                      <c:pt idx="6">
                        <c:v>Transportation</c:v>
                      </c:pt>
                      <c:pt idx="7">
                        <c:v>Wastewater</c:v>
                      </c:pt>
                      <c:pt idx="8">
                        <c:v>Water Supply</c:v>
                      </c:pt>
                      <c:pt idx="9">
                        <c:v>Support Units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'Borrowing Prog'!$B$3:$B$12</c15:sqref>
                        </c15:formulaRef>
                      </c:ext>
                    </c:extLst>
                    <c:numCache>
                      <c:formatCode>_-* #,##0_-;\-* #,##0_-;_-* "-"??_-;_-@_-</c:formatCode>
                      <c:ptCount val="10"/>
                      <c:pt idx="1">
                        <c:v>167</c:v>
                      </c:pt>
                      <c:pt idx="2">
                        <c:v>26242</c:v>
                      </c:pt>
                      <c:pt idx="3">
                        <c:v>2777</c:v>
                      </c:pt>
                      <c:pt idx="4">
                        <c:v>5747</c:v>
                      </c:pt>
                      <c:pt idx="5">
                        <c:v>11908</c:v>
                      </c:pt>
                      <c:pt idx="6">
                        <c:v>11709</c:v>
                      </c:pt>
                      <c:pt idx="7">
                        <c:v>13393</c:v>
                      </c:pt>
                      <c:pt idx="8">
                        <c:v>13966</c:v>
                      </c:pt>
                      <c:pt idx="9">
                        <c:v>4552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506-49D3-AFD6-718817B37091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'Borrowing Prog'!$G$2</c15:sqref>
                        </c15:formulaRef>
                      </c:ext>
                    </c:extLst>
                    <c:strCache>
                      <c:ptCount val="1"/>
                      <c:pt idx="0">
                        <c:v>LTP 2022/23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'Borrowing Prog'!$A$3:$A$12</c15:sqref>
                        </c15:formulaRef>
                      </c:ext>
                    </c:extLst>
                    <c:strCache>
                      <c:ptCount val="10"/>
                      <c:pt idx="1">
                        <c:v>City Strategy</c:v>
                      </c:pt>
                      <c:pt idx="2">
                        <c:v>Community and Visitor Experiences</c:v>
                      </c:pt>
                      <c:pt idx="3">
                        <c:v>Other Infrastructure</c:v>
                      </c:pt>
                      <c:pt idx="4">
                        <c:v>Property Assets</c:v>
                      </c:pt>
                      <c:pt idx="5">
                        <c:v>Stormwater</c:v>
                      </c:pt>
                      <c:pt idx="6">
                        <c:v>Transportation</c:v>
                      </c:pt>
                      <c:pt idx="7">
                        <c:v>Wastewater</c:v>
                      </c:pt>
                      <c:pt idx="8">
                        <c:v>Water Supply</c:v>
                      </c:pt>
                      <c:pt idx="9">
                        <c:v>Support Units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'Borrowing Prog'!$C$3:$C$12</c15:sqref>
                        </c15:formulaRef>
                      </c:ext>
                    </c:extLst>
                    <c:numCache>
                      <c:formatCode>_-* #,##0_-;\-* #,##0_-;_-* "-"??_-;_-@_-</c:formatCode>
                      <c:ptCount val="10"/>
                      <c:pt idx="1">
                        <c:v>1094</c:v>
                      </c:pt>
                      <c:pt idx="2">
                        <c:v>17574</c:v>
                      </c:pt>
                      <c:pt idx="3">
                        <c:v>2778</c:v>
                      </c:pt>
                      <c:pt idx="4">
                        <c:v>3379</c:v>
                      </c:pt>
                      <c:pt idx="5">
                        <c:v>9212</c:v>
                      </c:pt>
                      <c:pt idx="6">
                        <c:v>11709</c:v>
                      </c:pt>
                      <c:pt idx="7">
                        <c:v>10849</c:v>
                      </c:pt>
                      <c:pt idx="8">
                        <c:v>9941</c:v>
                      </c:pt>
                      <c:pt idx="9">
                        <c:v>6720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506-49D3-AFD6-718817B37091}"/>
                  </c:ext>
                </c:extLst>
              </c15:ser>
            </c15:filteredBarSeries>
          </c:ext>
        </c:extLst>
      </c:barChart>
      <c:catAx>
        <c:axId val="102691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6911488"/>
        <c:crosses val="autoZero"/>
        <c:auto val="1"/>
        <c:lblAlgn val="ctr"/>
        <c:lblOffset val="100"/>
        <c:noMultiLvlLbl val="0"/>
      </c:catAx>
      <c:valAx>
        <c:axId val="102691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NZ"/>
                  <a:t>$000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691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NZ"/>
              <a:t>Forecast</a:t>
            </a:r>
            <a:r>
              <a:rPr lang="en-NZ" baseline="0"/>
              <a:t> Capital Spend for 2021-31</a:t>
            </a:r>
            <a:endParaRPr lang="en-N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AP 2022/23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Sheet1!$B$3:$K$3</c:f>
              <c:strCache>
                <c:ptCount val="10"/>
                <c:pt idx="0">
                  <c:v>2021/22</c:v>
                </c:pt>
                <c:pt idx="1">
                  <c:v>2022/23</c:v>
                </c:pt>
                <c:pt idx="2">
                  <c:v>2023/24</c:v>
                </c:pt>
                <c:pt idx="3">
                  <c:v>2024/25</c:v>
                </c:pt>
                <c:pt idx="4">
                  <c:v>2025/26</c:v>
                </c:pt>
                <c:pt idx="5">
                  <c:v>2026/27</c:v>
                </c:pt>
                <c:pt idx="6">
                  <c:v>2027/28</c:v>
                </c:pt>
                <c:pt idx="7">
                  <c:v>2028/29</c:v>
                </c:pt>
                <c:pt idx="8">
                  <c:v>2029/30</c:v>
                </c:pt>
                <c:pt idx="9">
                  <c:v>2030/31</c:v>
                </c:pt>
              </c:strCache>
            </c:strRef>
          </c:cat>
          <c:val>
            <c:numRef>
              <c:f>Sheet1!$B$4:$K$4</c:f>
              <c:numCache>
                <c:formatCode>_-* #,##0_-;\-* #,##0_-;_-* "-"??_-;_-@_-</c:formatCode>
                <c:ptCount val="10"/>
                <c:pt idx="0">
                  <c:v>81068</c:v>
                </c:pt>
                <c:pt idx="1">
                  <c:v>90461</c:v>
                </c:pt>
                <c:pt idx="2">
                  <c:v>91238</c:v>
                </c:pt>
                <c:pt idx="3">
                  <c:v>140066</c:v>
                </c:pt>
                <c:pt idx="4">
                  <c:v>126250</c:v>
                </c:pt>
                <c:pt idx="5">
                  <c:v>72876</c:v>
                </c:pt>
                <c:pt idx="6">
                  <c:v>74505</c:v>
                </c:pt>
                <c:pt idx="7">
                  <c:v>71705</c:v>
                </c:pt>
                <c:pt idx="8">
                  <c:v>67582</c:v>
                </c:pt>
                <c:pt idx="9">
                  <c:v>67500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77-4712-B04E-F95B9322C451}"/>
            </c:ext>
          </c:extLst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LTP 2021-31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Sheet1!$B$3:$K$3</c:f>
              <c:strCache>
                <c:ptCount val="10"/>
                <c:pt idx="0">
                  <c:v>2021/22</c:v>
                </c:pt>
                <c:pt idx="1">
                  <c:v>2022/23</c:v>
                </c:pt>
                <c:pt idx="2">
                  <c:v>2023/24</c:v>
                </c:pt>
                <c:pt idx="3">
                  <c:v>2024/25</c:v>
                </c:pt>
                <c:pt idx="4">
                  <c:v>2025/26</c:v>
                </c:pt>
                <c:pt idx="5">
                  <c:v>2026/27</c:v>
                </c:pt>
                <c:pt idx="6">
                  <c:v>2027/28</c:v>
                </c:pt>
                <c:pt idx="7">
                  <c:v>2028/29</c:v>
                </c:pt>
                <c:pt idx="8">
                  <c:v>2029/30</c:v>
                </c:pt>
                <c:pt idx="9">
                  <c:v>2030/31</c:v>
                </c:pt>
              </c:strCache>
            </c:strRef>
          </c:cat>
          <c:val>
            <c:numRef>
              <c:f>Sheet1!$B$5:$K$5</c:f>
              <c:numCache>
                <c:formatCode>_-* #,##0_-;\-* #,##0_-;_-* "-"??_-;_-@_-</c:formatCode>
                <c:ptCount val="10"/>
                <c:pt idx="0">
                  <c:v>64381</c:v>
                </c:pt>
                <c:pt idx="1">
                  <c:v>73256</c:v>
                </c:pt>
                <c:pt idx="2">
                  <c:v>77902</c:v>
                </c:pt>
                <c:pt idx="3">
                  <c:v>137040</c:v>
                </c:pt>
                <c:pt idx="4">
                  <c:v>119087</c:v>
                </c:pt>
                <c:pt idx="5">
                  <c:v>72876</c:v>
                </c:pt>
                <c:pt idx="6">
                  <c:v>74510</c:v>
                </c:pt>
                <c:pt idx="7">
                  <c:v>71705</c:v>
                </c:pt>
                <c:pt idx="8">
                  <c:v>67953</c:v>
                </c:pt>
                <c:pt idx="9">
                  <c:v>67875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77-4712-B04E-F95B9322C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6908864"/>
        <c:axId val="1026903288"/>
      </c:barChart>
      <c:catAx>
        <c:axId val="102690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6903288"/>
        <c:crosses val="autoZero"/>
        <c:auto val="1"/>
        <c:lblAlgn val="ctr"/>
        <c:lblOffset val="100"/>
        <c:noMultiLvlLbl val="0"/>
      </c:catAx>
      <c:valAx>
        <c:axId val="102690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NZ"/>
                  <a:t>$000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690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NCC-Wor">
  <a:themeElements>
    <a:clrScheme name="NCC">
      <a:dk1>
        <a:srgbClr val="343E48"/>
      </a:dk1>
      <a:lt1>
        <a:sysClr val="window" lastClr="FFFFFF"/>
      </a:lt1>
      <a:dk2>
        <a:srgbClr val="43B4E3"/>
      </a:dk2>
      <a:lt2>
        <a:srgbClr val="77BD43"/>
      </a:lt2>
      <a:accent1>
        <a:srgbClr val="F7941D"/>
      </a:accent1>
      <a:accent2>
        <a:srgbClr val="00A450"/>
      </a:accent2>
      <a:accent3>
        <a:srgbClr val="ED0A71"/>
      </a:accent3>
      <a:accent4>
        <a:srgbClr val="1A7EB0"/>
      </a:accent4>
      <a:accent5>
        <a:srgbClr val="D8D8D8"/>
      </a:accent5>
      <a:accent6>
        <a:srgbClr val="BFBFBF"/>
      </a:accent6>
      <a:hlink>
        <a:srgbClr val="43B4E3"/>
      </a:hlink>
      <a:folHlink>
        <a:srgbClr val="77BD4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Abstract text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D2FC049B6D45A3D3E70853DABD75" ma:contentTypeVersion="9" ma:contentTypeDescription="Create a new document." ma:contentTypeScope="" ma:versionID="b0bcf61d707f9d169ff867de8046eeba">
  <xsd:schema xmlns:xsd="http://www.w3.org/2001/XMLSchema" xmlns:xs="http://www.w3.org/2001/XMLSchema" xmlns:p="http://schemas.microsoft.com/office/2006/metadata/properties" xmlns:ns2="16684e01-04a0-4585-8eeb-98f000a3d314" targetNamespace="http://schemas.microsoft.com/office/2006/metadata/properties" ma:root="true" ma:fieldsID="058dcf353571141f666848c80513ee8d" ns2:_="">
    <xsd:import namespace="16684e01-04a0-4585-8eeb-98f000a3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4e01-04a0-4585-8eeb-98f000a3d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571F97-7E47-46B2-B1F4-7482D0DE4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60708-3199-4B44-9CE8-1C23C6EBD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84e01-04a0-4585-8eeb-98f000a3d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8F050-5AC9-451C-B91C-931306E5B3F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6684e01-04a0-4585-8eeb-98f000a3d314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F5A0726-5FFB-459F-8C00-375F563D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801</Words>
  <Characters>4062</Characters>
  <Application>Microsoft Office Word</Application>
  <DocSecurity>0</DocSecurity>
  <Lines>176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Sycle: Project Sponsors</vt:lpstr>
    </vt:vector>
  </TitlesOfParts>
  <Company>Hewlett-Packard Company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Sycle: Project Sponsors</dc:title>
  <dc:subject>Managing Users</dc:subject>
  <dc:creator>Jane Klingender</dc:creator>
  <cp:keywords>Projects</cp:keywords>
  <cp:lastModifiedBy>Lauren Sye</cp:lastModifiedBy>
  <cp:revision>2</cp:revision>
  <cp:lastPrinted>2018-12-19T01:12:00Z</cp:lastPrinted>
  <dcterms:created xsi:type="dcterms:W3CDTF">2022-04-04T21:40:00Z</dcterms:created>
  <dcterms:modified xsi:type="dcterms:W3CDTF">2022-04-04T21:40:00Z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0x010100517DD2FC049B6D45A3D3E70853DABD75</vt:lpwstr>
  </property>
</Properties>
</file>